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FC635" w14:textId="77777777" w:rsidR="006409C6" w:rsidRDefault="006409C6" w:rsidP="006409C6">
      <w:pPr>
        <w:spacing w:line="259" w:lineRule="auto"/>
        <w:jc w:val="center"/>
        <w:rPr>
          <w:rFonts w:ascii="Cambria" w:eastAsiaTheme="majorEastAsia" w:hAnsi="Cambria" w:cstheme="majorBidi"/>
          <w:sz w:val="96"/>
          <w:szCs w:val="80"/>
        </w:rPr>
      </w:pPr>
      <w:r>
        <w:rPr>
          <w:rFonts w:ascii="Cambria" w:eastAsiaTheme="majorEastAsia" w:hAnsi="Cambria" w:cstheme="majorBidi"/>
          <w:sz w:val="96"/>
          <w:szCs w:val="80"/>
        </w:rPr>
        <w:t>RAPPORT D’ORIENTATIONS BUDGETAIRES 2025 PETR NORD DE L’YONNE</w:t>
      </w:r>
    </w:p>
    <w:p w14:paraId="384398CD" w14:textId="77777777" w:rsidR="006409C6" w:rsidRDefault="006409C6" w:rsidP="006409C6">
      <w:pPr>
        <w:spacing w:line="259" w:lineRule="auto"/>
        <w:rPr>
          <w:rFonts w:ascii="Cambria" w:eastAsiaTheme="majorEastAsia" w:hAnsi="Cambria" w:cstheme="majorBidi"/>
          <w:sz w:val="96"/>
          <w:szCs w:val="80"/>
        </w:rPr>
      </w:pPr>
      <w:r>
        <w:rPr>
          <w:rFonts w:ascii="Cambria" w:eastAsiaTheme="majorEastAsia" w:hAnsi="Cambria" w:cstheme="majorBidi"/>
          <w:sz w:val="96"/>
          <w:szCs w:val="80"/>
        </w:rPr>
        <w:br w:type="page"/>
      </w:r>
    </w:p>
    <w:p w14:paraId="1449B722" w14:textId="77777777" w:rsidR="006409C6" w:rsidRDefault="006409C6" w:rsidP="006409C6">
      <w:pPr>
        <w:spacing w:after="0" w:line="240" w:lineRule="auto"/>
        <w:rPr>
          <w:rFonts w:ascii="Times New Roman" w:hAnsi="Times New Roman" w:cs="Times New Roman"/>
          <w:b/>
          <w:bCs/>
          <w:sz w:val="28"/>
          <w:szCs w:val="28"/>
          <w:u w:val="single"/>
        </w:rPr>
      </w:pPr>
    </w:p>
    <w:p w14:paraId="6B0351D7" w14:textId="77777777" w:rsidR="006409C6" w:rsidRDefault="006409C6" w:rsidP="006409C6">
      <w:pPr>
        <w:spacing w:after="0" w:line="240" w:lineRule="auto"/>
        <w:rPr>
          <w:rFonts w:ascii="Times New Roman" w:hAnsi="Times New Roman" w:cs="Times New Roman"/>
          <w:b/>
          <w:bCs/>
          <w:sz w:val="28"/>
          <w:szCs w:val="28"/>
          <w:u w:val="single"/>
        </w:rPr>
      </w:pPr>
    </w:p>
    <w:p w14:paraId="796791AC" w14:textId="77777777" w:rsidR="006409C6" w:rsidRDefault="006409C6" w:rsidP="006409C6">
      <w:pPr>
        <w:spacing w:after="0" w:line="240" w:lineRule="auto"/>
        <w:rPr>
          <w:rFonts w:ascii="Times New Roman" w:hAnsi="Times New Roman" w:cs="Times New Roman"/>
          <w:b/>
          <w:bCs/>
          <w:sz w:val="28"/>
          <w:szCs w:val="28"/>
          <w:u w:val="single"/>
        </w:rPr>
      </w:pPr>
      <w:r>
        <w:rPr>
          <w:rFonts w:ascii="Times New Roman" w:hAnsi="Times New Roman" w:cs="Times New Roman"/>
          <w:b/>
          <w:bCs/>
          <w:sz w:val="28"/>
          <w:szCs w:val="28"/>
          <w:u w:val="single"/>
        </w:rPr>
        <w:t>Introduction</w:t>
      </w:r>
    </w:p>
    <w:p w14:paraId="154C7B55" w14:textId="77777777" w:rsidR="006409C6" w:rsidRDefault="006409C6" w:rsidP="006409C6">
      <w:pPr>
        <w:spacing w:after="0" w:line="240" w:lineRule="auto"/>
        <w:jc w:val="center"/>
        <w:rPr>
          <w:rFonts w:ascii="Times New Roman" w:hAnsi="Times New Roman" w:cs="Times New Roman"/>
          <w:b/>
          <w:bCs/>
          <w:sz w:val="28"/>
          <w:szCs w:val="28"/>
          <w:u w:val="single"/>
        </w:rPr>
      </w:pPr>
    </w:p>
    <w:p w14:paraId="32242B7F" w14:textId="77777777" w:rsidR="006409C6" w:rsidRDefault="006409C6" w:rsidP="006409C6">
      <w:pPr>
        <w:spacing w:after="0" w:line="240" w:lineRule="auto"/>
        <w:jc w:val="center"/>
        <w:rPr>
          <w:rFonts w:ascii="Times New Roman" w:hAnsi="Times New Roman" w:cs="Times New Roman"/>
          <w:b/>
          <w:bCs/>
          <w:sz w:val="28"/>
          <w:szCs w:val="28"/>
          <w:u w:val="single"/>
        </w:rPr>
      </w:pPr>
    </w:p>
    <w:p w14:paraId="30A562C8" w14:textId="77777777" w:rsidR="006409C6" w:rsidRDefault="006409C6" w:rsidP="006409C6">
      <w:pPr>
        <w:spacing w:after="0"/>
        <w:jc w:val="both"/>
        <w:rPr>
          <w:rFonts w:ascii="Times New Roman" w:hAnsi="Times New Roman" w:cs="Times New Roman"/>
          <w:sz w:val="24"/>
          <w:szCs w:val="24"/>
        </w:rPr>
      </w:pPr>
      <w:r>
        <w:rPr>
          <w:rFonts w:ascii="Times New Roman" w:hAnsi="Times New Roman" w:cs="Times New Roman"/>
          <w:sz w:val="24"/>
          <w:szCs w:val="24"/>
        </w:rPr>
        <w:t xml:space="preserve">La présentation d’un Rapport d’Orientations Budgétaires (ROB) est une obligation légale pour toutes les communes de plus de 3 500 habitants, un débat devant également se tenir dans les deux mois précédent l’examen du budget primitif. </w:t>
      </w:r>
    </w:p>
    <w:p w14:paraId="53CB5C9C" w14:textId="77777777" w:rsidR="006409C6" w:rsidRDefault="006409C6" w:rsidP="006409C6">
      <w:pPr>
        <w:spacing w:after="0"/>
        <w:jc w:val="both"/>
        <w:rPr>
          <w:rFonts w:ascii="Times New Roman" w:hAnsi="Times New Roman" w:cs="Times New Roman"/>
          <w:sz w:val="24"/>
          <w:szCs w:val="24"/>
        </w:rPr>
      </w:pPr>
    </w:p>
    <w:p w14:paraId="3BACB13A" w14:textId="77777777" w:rsidR="006409C6" w:rsidRDefault="006409C6" w:rsidP="006409C6">
      <w:pPr>
        <w:spacing w:after="0"/>
        <w:jc w:val="both"/>
        <w:rPr>
          <w:rFonts w:ascii="Times New Roman" w:hAnsi="Times New Roman" w:cs="Times New Roman"/>
          <w:sz w:val="24"/>
          <w:szCs w:val="24"/>
        </w:rPr>
      </w:pPr>
      <w:r>
        <w:rPr>
          <w:rFonts w:ascii="Times New Roman" w:hAnsi="Times New Roman" w:cs="Times New Roman"/>
          <w:sz w:val="24"/>
          <w:szCs w:val="24"/>
        </w:rPr>
        <w:t>La loi du février 1992 relative à l’administration territoriale de la République a instauré ce rapport pour répondre à deux objectifs principaux :</w:t>
      </w:r>
    </w:p>
    <w:p w14:paraId="6B17CEC4" w14:textId="77777777" w:rsidR="006409C6" w:rsidRDefault="006409C6" w:rsidP="006409C6">
      <w:pPr>
        <w:spacing w:after="0"/>
        <w:jc w:val="both"/>
        <w:rPr>
          <w:rFonts w:ascii="Times New Roman" w:hAnsi="Times New Roman" w:cs="Times New Roman"/>
          <w:sz w:val="24"/>
          <w:szCs w:val="24"/>
        </w:rPr>
      </w:pPr>
      <w:r>
        <w:rPr>
          <w:rFonts w:ascii="Times New Roman" w:hAnsi="Times New Roman" w:cs="Times New Roman"/>
          <w:sz w:val="24"/>
          <w:szCs w:val="24"/>
        </w:rPr>
        <w:t xml:space="preserve"> - Le premier est de permettre à l’assemblée délibérante de discuter des orientations budgétaires qui préfigurent des priorités qui seront inscrites au budget primitif ; </w:t>
      </w:r>
    </w:p>
    <w:p w14:paraId="0B642719" w14:textId="77777777" w:rsidR="006409C6" w:rsidRDefault="006409C6" w:rsidP="006409C6">
      <w:pPr>
        <w:spacing w:after="0"/>
        <w:jc w:val="both"/>
        <w:rPr>
          <w:rFonts w:ascii="Times New Roman" w:hAnsi="Times New Roman" w:cs="Times New Roman"/>
          <w:sz w:val="24"/>
          <w:szCs w:val="24"/>
        </w:rPr>
      </w:pPr>
      <w:r>
        <w:rPr>
          <w:rFonts w:ascii="Times New Roman" w:hAnsi="Times New Roman" w:cs="Times New Roman"/>
          <w:sz w:val="24"/>
          <w:szCs w:val="24"/>
        </w:rPr>
        <w:t>- Le second objectif est d’apporter une information sur l’évolution de la situation financière de la collectivité.</w:t>
      </w:r>
    </w:p>
    <w:p w14:paraId="1C3CA128" w14:textId="77777777" w:rsidR="006409C6" w:rsidRDefault="006409C6" w:rsidP="006409C6">
      <w:pPr>
        <w:spacing w:after="0"/>
        <w:jc w:val="both"/>
        <w:rPr>
          <w:rFonts w:ascii="Times New Roman" w:hAnsi="Times New Roman" w:cs="Times New Roman"/>
          <w:sz w:val="24"/>
          <w:szCs w:val="24"/>
        </w:rPr>
      </w:pPr>
    </w:p>
    <w:p w14:paraId="5CFF4269" w14:textId="77777777" w:rsidR="006409C6" w:rsidRDefault="006409C6" w:rsidP="006409C6">
      <w:pPr>
        <w:spacing w:after="0"/>
        <w:jc w:val="both"/>
        <w:rPr>
          <w:rFonts w:ascii="Times New Roman" w:hAnsi="Times New Roman" w:cs="Times New Roman"/>
          <w:sz w:val="24"/>
          <w:szCs w:val="24"/>
        </w:rPr>
      </w:pPr>
      <w:r>
        <w:rPr>
          <w:rFonts w:ascii="Times New Roman" w:hAnsi="Times New Roman" w:cs="Times New Roman"/>
          <w:sz w:val="24"/>
          <w:szCs w:val="24"/>
        </w:rPr>
        <w:t xml:space="preserve">C’est ensuite la loi </w:t>
      </w:r>
      <w:proofErr w:type="spellStart"/>
      <w:r>
        <w:rPr>
          <w:rFonts w:ascii="Times New Roman" w:hAnsi="Times New Roman" w:cs="Times New Roman"/>
          <w:sz w:val="24"/>
          <w:szCs w:val="24"/>
        </w:rPr>
        <w:t>NOTRe</w:t>
      </w:r>
      <w:proofErr w:type="spellEnd"/>
      <w:r>
        <w:rPr>
          <w:rFonts w:ascii="Times New Roman" w:hAnsi="Times New Roman" w:cs="Times New Roman"/>
          <w:sz w:val="24"/>
          <w:szCs w:val="24"/>
        </w:rPr>
        <w:t xml:space="preserve"> qui dispose que ce temps budgétaire doit permettre d’évaluer les précisions budgétaires sur divers aspects : épargne ou encore endettement. </w:t>
      </w:r>
    </w:p>
    <w:p w14:paraId="47A3AFE7" w14:textId="77777777" w:rsidR="006409C6" w:rsidRDefault="006409C6" w:rsidP="006409C6">
      <w:pPr>
        <w:spacing w:after="0"/>
        <w:jc w:val="both"/>
        <w:rPr>
          <w:rFonts w:ascii="Times New Roman" w:hAnsi="Times New Roman" w:cs="Times New Roman"/>
          <w:b/>
          <w:bCs/>
          <w:sz w:val="24"/>
          <w:szCs w:val="24"/>
        </w:rPr>
      </w:pPr>
    </w:p>
    <w:p w14:paraId="6DA01120" w14:textId="77777777" w:rsidR="006409C6" w:rsidRDefault="006409C6" w:rsidP="006409C6">
      <w:pPr>
        <w:spacing w:after="0"/>
        <w:jc w:val="both"/>
        <w:rPr>
          <w:rFonts w:ascii="Times New Roman" w:hAnsi="Times New Roman" w:cs="Times New Roman"/>
          <w:sz w:val="24"/>
          <w:szCs w:val="24"/>
        </w:rPr>
      </w:pPr>
      <w:r>
        <w:rPr>
          <w:rFonts w:ascii="Times New Roman" w:hAnsi="Times New Roman" w:cs="Times New Roman"/>
          <w:sz w:val="24"/>
          <w:szCs w:val="24"/>
        </w:rPr>
        <w:t xml:space="preserve">Ce rapport doit permettre de mener et nourrir la réflexion préalable au vote du budget primitif 2025 du PETR du Nord de l’Yonne. </w:t>
      </w:r>
    </w:p>
    <w:p w14:paraId="30BDDB28" w14:textId="77777777" w:rsidR="006409C6" w:rsidRDefault="006409C6" w:rsidP="006409C6">
      <w:pPr>
        <w:spacing w:after="0" w:line="240" w:lineRule="auto"/>
        <w:jc w:val="both"/>
        <w:rPr>
          <w:rFonts w:ascii="Times New Roman" w:hAnsi="Times New Roman" w:cs="Times New Roman"/>
          <w:sz w:val="24"/>
          <w:szCs w:val="24"/>
        </w:rPr>
      </w:pPr>
    </w:p>
    <w:p w14:paraId="7E8D61F9" w14:textId="77777777" w:rsidR="006409C6" w:rsidRDefault="006409C6" w:rsidP="006409C6">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Pour rappel, les orientations doivent faire l’objet d’une communication, d’une publication et la présentation de ce rapport doit donner lieu à une délibération spécifique.</w:t>
      </w:r>
    </w:p>
    <w:p w14:paraId="10F48280" w14:textId="77777777" w:rsidR="006409C6" w:rsidRDefault="006409C6" w:rsidP="006409C6">
      <w:pPr>
        <w:spacing w:line="259" w:lineRule="auto"/>
        <w:rPr>
          <w:rFonts w:ascii="Times New Roman" w:hAnsi="Times New Roman" w:cs="Times New Roman"/>
          <w:sz w:val="24"/>
          <w:szCs w:val="24"/>
        </w:rPr>
      </w:pPr>
      <w:r>
        <w:rPr>
          <w:rFonts w:ascii="Times New Roman" w:hAnsi="Times New Roman" w:cs="Times New Roman"/>
          <w:sz w:val="24"/>
          <w:szCs w:val="24"/>
        </w:rPr>
        <w:br w:type="page"/>
      </w:r>
    </w:p>
    <w:p w14:paraId="0F3F117D" w14:textId="77777777" w:rsidR="006409C6" w:rsidRDefault="006409C6" w:rsidP="006409C6">
      <w:pPr>
        <w:spacing w:line="259" w:lineRule="auto"/>
        <w:rPr>
          <w:rFonts w:ascii="Times New Roman" w:hAnsi="Times New Roman" w:cs="Times New Roman"/>
          <w:sz w:val="24"/>
          <w:szCs w:val="24"/>
        </w:rPr>
      </w:pPr>
    </w:p>
    <w:p w14:paraId="018EA99A" w14:textId="77777777" w:rsidR="006409C6" w:rsidRPr="00286657" w:rsidRDefault="006409C6" w:rsidP="006409C6">
      <w:pPr>
        <w:pStyle w:val="Titre1"/>
        <w:numPr>
          <w:ilvl w:val="0"/>
          <w:numId w:val="3"/>
        </w:numPr>
        <w:tabs>
          <w:tab w:val="num" w:pos="360"/>
        </w:tabs>
        <w:ind w:left="720" w:hanging="360"/>
        <w:jc w:val="both"/>
        <w:rPr>
          <w:rFonts w:ascii="Times" w:eastAsiaTheme="minorHAnsi" w:hAnsi="Times" w:cs="Times"/>
          <w:b/>
          <w:bCs/>
          <w:sz w:val="36"/>
          <w:szCs w:val="36"/>
          <w:u w:val="single"/>
        </w:rPr>
      </w:pPr>
      <w:r w:rsidRPr="00286657">
        <w:rPr>
          <w:rFonts w:ascii="Times" w:eastAsiaTheme="minorHAnsi" w:hAnsi="Times" w:cs="Times"/>
          <w:b/>
          <w:bCs/>
          <w:sz w:val="36"/>
          <w:szCs w:val="36"/>
          <w:u w:val="single"/>
        </w:rPr>
        <w:t>UN CONTEXTE POLITIQUE, SOCIAL ET ECONOMIQUE MENAÇANT LES FINANCES DES COLLECTIVITES TERRITORIALES</w:t>
      </w:r>
    </w:p>
    <w:p w14:paraId="590D2D78" w14:textId="77777777" w:rsidR="006409C6" w:rsidRPr="00286657" w:rsidRDefault="006409C6" w:rsidP="006409C6"/>
    <w:p w14:paraId="69963B18" w14:textId="77777777" w:rsidR="006409C6" w:rsidRPr="00D846D6" w:rsidRDefault="006409C6" w:rsidP="006409C6">
      <w:pPr>
        <w:spacing w:line="240" w:lineRule="auto"/>
        <w:contextualSpacing/>
        <w:jc w:val="both"/>
        <w:rPr>
          <w:rFonts w:ascii="Times New Roman" w:hAnsi="Times New Roman" w:cs="Times New Roman"/>
          <w:sz w:val="24"/>
          <w:szCs w:val="24"/>
        </w:rPr>
      </w:pPr>
      <w:r w:rsidRPr="00D846D6">
        <w:rPr>
          <w:rFonts w:ascii="Times New Roman" w:hAnsi="Times New Roman" w:cs="Times New Roman"/>
          <w:sz w:val="24"/>
          <w:szCs w:val="24"/>
        </w:rPr>
        <w:t>Depuis 2022, l’actualité économique a été marquée par le niveau élevé de l’inflation, notamment en matière d’énergie. Toutefois, ce cycle inflationniste décélère au niveau mondial. Les collectivités territoriales abordent l’année 2025 dans l’incertitude des décisions du Gouvernement en matière de finances publiques. En effet, après la censure du Gouvernement Barnier le 4 décembre 2024, il n’était plus possible au Parlement de terminer l’examen et d’adopter définitivement le projet de loi de finances 2025 pour une promulgation avant le 1er janvier 2025.</w:t>
      </w:r>
    </w:p>
    <w:p w14:paraId="4365FF9B" w14:textId="77777777" w:rsidR="006409C6" w:rsidRPr="00D846D6" w:rsidRDefault="006409C6" w:rsidP="006409C6">
      <w:pPr>
        <w:spacing w:line="240" w:lineRule="auto"/>
        <w:contextualSpacing/>
        <w:jc w:val="both"/>
        <w:rPr>
          <w:rFonts w:ascii="Times New Roman" w:hAnsi="Times New Roman" w:cs="Times New Roman"/>
          <w:sz w:val="24"/>
          <w:szCs w:val="24"/>
        </w:rPr>
      </w:pPr>
      <w:r w:rsidRPr="00D846D6">
        <w:rPr>
          <w:rFonts w:ascii="Times New Roman" w:hAnsi="Times New Roman" w:cs="Times New Roman"/>
          <w:sz w:val="24"/>
          <w:szCs w:val="24"/>
        </w:rPr>
        <w:t>Le 5 février 2025, l’Assemblée nationale a rejeté la motion de censure déposée le 3 février, le projet de loi de finances pour 2025 est considéré comme adopté, en application de l’article 49.3 de la Constitution.</w:t>
      </w:r>
    </w:p>
    <w:p w14:paraId="3B0BA8C3" w14:textId="77777777" w:rsidR="006409C6" w:rsidRPr="00D846D6" w:rsidRDefault="006409C6" w:rsidP="006409C6">
      <w:pPr>
        <w:spacing w:line="240" w:lineRule="auto"/>
        <w:contextualSpacing/>
        <w:jc w:val="both"/>
        <w:rPr>
          <w:rFonts w:ascii="Times New Roman" w:hAnsi="Times New Roman" w:cs="Times New Roman"/>
          <w:sz w:val="24"/>
          <w:szCs w:val="24"/>
        </w:rPr>
      </w:pPr>
    </w:p>
    <w:p w14:paraId="4956174F" w14:textId="77777777" w:rsidR="006409C6" w:rsidRPr="00D846D6" w:rsidRDefault="006409C6" w:rsidP="006409C6">
      <w:pPr>
        <w:spacing w:line="240" w:lineRule="auto"/>
        <w:contextualSpacing/>
        <w:jc w:val="both"/>
        <w:rPr>
          <w:rFonts w:ascii="Times New Roman" w:hAnsi="Times New Roman" w:cs="Times New Roman"/>
          <w:sz w:val="24"/>
          <w:szCs w:val="24"/>
        </w:rPr>
      </w:pPr>
      <w:r w:rsidRPr="00D846D6">
        <w:rPr>
          <w:rFonts w:ascii="Times New Roman" w:hAnsi="Times New Roman" w:cs="Times New Roman"/>
          <w:sz w:val="24"/>
          <w:szCs w:val="24"/>
        </w:rPr>
        <w:t>Les collectivités territoriales abordent l’année 2025 prises en étau. Alors même que l’urgence climatique et les défis sociaux-démographiques enjoignent à investir en faveur de la transition écologique et à consacrer des moyens conséquents pour faire face aux défis sociaux qu’elles doivent affronter, la sous-compensation par l’Etat de leurs dépenses, l’absence de dispositifs suffisamment puissants de rééquilibrage des écarts de richesse entre collectivités, et une conjoncture économique dégradée, ont entraîné une détérioration de la santé financière des collectivités au niveau national.</w:t>
      </w:r>
    </w:p>
    <w:p w14:paraId="06C8FCB5" w14:textId="77777777" w:rsidR="006409C6" w:rsidRPr="00D846D6" w:rsidRDefault="006409C6" w:rsidP="006409C6">
      <w:pPr>
        <w:spacing w:line="240" w:lineRule="auto"/>
        <w:contextualSpacing/>
        <w:jc w:val="both"/>
        <w:rPr>
          <w:rFonts w:ascii="Times New Roman" w:hAnsi="Times New Roman" w:cs="Times New Roman"/>
          <w:sz w:val="24"/>
          <w:szCs w:val="24"/>
        </w:rPr>
      </w:pPr>
      <w:r w:rsidRPr="00D846D6">
        <w:rPr>
          <w:rFonts w:ascii="Times New Roman" w:hAnsi="Times New Roman" w:cs="Times New Roman"/>
          <w:sz w:val="24"/>
          <w:szCs w:val="24"/>
        </w:rPr>
        <w:t> </w:t>
      </w:r>
    </w:p>
    <w:p w14:paraId="67935869" w14:textId="77777777" w:rsidR="006409C6" w:rsidRPr="00D846D6" w:rsidRDefault="006409C6" w:rsidP="006409C6">
      <w:pPr>
        <w:spacing w:line="240" w:lineRule="auto"/>
        <w:contextualSpacing/>
        <w:jc w:val="both"/>
        <w:rPr>
          <w:rFonts w:ascii="Times New Roman" w:hAnsi="Times New Roman" w:cs="Times New Roman"/>
          <w:sz w:val="24"/>
          <w:szCs w:val="24"/>
        </w:rPr>
      </w:pPr>
      <w:r w:rsidRPr="00D846D6">
        <w:rPr>
          <w:rFonts w:ascii="Times New Roman" w:hAnsi="Times New Roman" w:cs="Times New Roman"/>
          <w:sz w:val="24"/>
          <w:szCs w:val="24"/>
        </w:rPr>
        <w:t>L’exemple emblématique de la tendance actuelle est la baisse de l’enveloppe financière dédiée au Fonds vert, dispositif destiné à financer l’accélération de la transition écologique dans les territoires, passant de 2,5 milliards d’euros à 1 milliards en 2025 (PLF 2025 proposé par le gouvernement). L’avenir des financements par l’Etat est incertain dans le contexte budgétaire actuel.</w:t>
      </w:r>
    </w:p>
    <w:p w14:paraId="1AB397E0" w14:textId="77777777" w:rsidR="006409C6" w:rsidRPr="00D846D6" w:rsidRDefault="006409C6" w:rsidP="006409C6">
      <w:pPr>
        <w:spacing w:line="240" w:lineRule="auto"/>
        <w:contextualSpacing/>
        <w:jc w:val="both"/>
        <w:rPr>
          <w:rFonts w:ascii="Times New Roman" w:hAnsi="Times New Roman" w:cs="Times New Roman"/>
          <w:sz w:val="24"/>
          <w:szCs w:val="24"/>
        </w:rPr>
      </w:pPr>
      <w:r w:rsidRPr="00D846D6">
        <w:rPr>
          <w:rFonts w:ascii="Times New Roman" w:hAnsi="Times New Roman" w:cs="Times New Roman"/>
          <w:sz w:val="24"/>
          <w:szCs w:val="24"/>
        </w:rPr>
        <w:t> </w:t>
      </w:r>
    </w:p>
    <w:p w14:paraId="76D63D25" w14:textId="77777777" w:rsidR="006409C6" w:rsidRPr="00D846D6" w:rsidRDefault="006409C6" w:rsidP="006409C6">
      <w:pPr>
        <w:spacing w:line="240" w:lineRule="auto"/>
        <w:contextualSpacing/>
        <w:jc w:val="both"/>
        <w:rPr>
          <w:rFonts w:ascii="Times New Roman" w:hAnsi="Times New Roman" w:cs="Times New Roman"/>
          <w:sz w:val="24"/>
          <w:szCs w:val="24"/>
        </w:rPr>
      </w:pPr>
      <w:r w:rsidRPr="00D846D6">
        <w:rPr>
          <w:rFonts w:ascii="Times New Roman" w:hAnsi="Times New Roman" w:cs="Times New Roman"/>
          <w:sz w:val="24"/>
          <w:szCs w:val="24"/>
        </w:rPr>
        <w:t>L’inflation décélère pour atteindre 1,5 % en septembre 2024. C’est la première fois depuis trois ans que l’inflation française repasse sous la barre des 2%. Selon les prévisions du Gouvernement, l’inflation devrait atteindre 2,1 % en moyenne sur l’année 2024 avant de poursuivre sa décrue en 2025 (1,8 %).</w:t>
      </w:r>
    </w:p>
    <w:p w14:paraId="13F4AD4E" w14:textId="77777777" w:rsidR="006409C6" w:rsidRPr="00D846D6" w:rsidRDefault="006409C6" w:rsidP="006409C6">
      <w:pPr>
        <w:spacing w:line="240" w:lineRule="auto"/>
        <w:contextualSpacing/>
        <w:jc w:val="both"/>
        <w:rPr>
          <w:rFonts w:ascii="Times New Roman" w:hAnsi="Times New Roman" w:cs="Times New Roman"/>
          <w:sz w:val="24"/>
          <w:szCs w:val="24"/>
        </w:rPr>
      </w:pPr>
      <w:r w:rsidRPr="00D846D6">
        <w:rPr>
          <w:rFonts w:ascii="Times New Roman" w:hAnsi="Times New Roman" w:cs="Times New Roman"/>
          <w:sz w:val="24"/>
          <w:szCs w:val="24"/>
        </w:rPr>
        <w:t> </w:t>
      </w:r>
    </w:p>
    <w:p w14:paraId="2CA93C5D" w14:textId="77777777" w:rsidR="006409C6" w:rsidRPr="00D846D6" w:rsidRDefault="006409C6" w:rsidP="006409C6">
      <w:pPr>
        <w:spacing w:line="240" w:lineRule="auto"/>
        <w:contextualSpacing/>
        <w:jc w:val="both"/>
        <w:rPr>
          <w:rFonts w:ascii="Times New Roman" w:hAnsi="Times New Roman" w:cs="Times New Roman"/>
          <w:sz w:val="24"/>
          <w:szCs w:val="24"/>
        </w:rPr>
      </w:pPr>
      <w:r w:rsidRPr="00D846D6">
        <w:rPr>
          <w:rFonts w:ascii="Times New Roman" w:hAnsi="Times New Roman" w:cs="Times New Roman"/>
          <w:noProof/>
          <w:sz w:val="24"/>
          <w:szCs w:val="24"/>
        </w:rPr>
        <w:lastRenderedPageBreak/>
        <w:drawing>
          <wp:inline distT="0" distB="0" distL="0" distR="0" wp14:anchorId="014E4C8B" wp14:editId="33DB1942">
            <wp:extent cx="5760720" cy="5017770"/>
            <wp:effectExtent l="0" t="0" r="0" b="0"/>
            <wp:docPr id="1472111786" name="Image 2" descr="Une image contenant texte, Tracé, ligne, diagra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111786" name="Image 2" descr="Une image contenant texte, Tracé, ligne, diagramme&#10;&#10;Le contenu généré par l’IA peut êtr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5017770"/>
                    </a:xfrm>
                    <a:prstGeom prst="rect">
                      <a:avLst/>
                    </a:prstGeom>
                    <a:noFill/>
                    <a:ln>
                      <a:noFill/>
                    </a:ln>
                  </pic:spPr>
                </pic:pic>
              </a:graphicData>
            </a:graphic>
          </wp:inline>
        </w:drawing>
      </w:r>
    </w:p>
    <w:p w14:paraId="737D8A02" w14:textId="77777777" w:rsidR="006409C6" w:rsidRPr="00D846D6" w:rsidRDefault="006409C6" w:rsidP="006409C6">
      <w:pPr>
        <w:spacing w:line="240" w:lineRule="auto"/>
        <w:contextualSpacing/>
        <w:jc w:val="both"/>
        <w:rPr>
          <w:rFonts w:ascii="Times New Roman" w:hAnsi="Times New Roman" w:cs="Times New Roman"/>
          <w:sz w:val="24"/>
          <w:szCs w:val="24"/>
        </w:rPr>
      </w:pPr>
    </w:p>
    <w:p w14:paraId="322460D8" w14:textId="77777777" w:rsidR="006409C6" w:rsidRPr="00D846D6" w:rsidRDefault="006409C6" w:rsidP="006409C6">
      <w:pPr>
        <w:spacing w:line="240" w:lineRule="auto"/>
        <w:contextualSpacing/>
        <w:jc w:val="both"/>
        <w:rPr>
          <w:rFonts w:ascii="Times New Roman" w:hAnsi="Times New Roman" w:cs="Times New Roman"/>
          <w:sz w:val="24"/>
          <w:szCs w:val="24"/>
        </w:rPr>
      </w:pPr>
      <w:r w:rsidRPr="00D846D6">
        <w:rPr>
          <w:rFonts w:ascii="Times New Roman" w:hAnsi="Times New Roman" w:cs="Times New Roman"/>
          <w:b/>
          <w:bCs/>
          <w:sz w:val="24"/>
          <w:szCs w:val="24"/>
        </w:rPr>
        <w:t>DES ANNEES 2023 ET 2024 DEJA DIFFICILES POUR LES FINANCES PUBLIQUES LOCALES</w:t>
      </w:r>
    </w:p>
    <w:p w14:paraId="38A40A86" w14:textId="77777777" w:rsidR="006409C6" w:rsidRPr="00D846D6" w:rsidRDefault="006409C6" w:rsidP="006409C6">
      <w:pPr>
        <w:spacing w:line="240" w:lineRule="auto"/>
        <w:contextualSpacing/>
        <w:jc w:val="both"/>
        <w:rPr>
          <w:rFonts w:ascii="Times New Roman" w:hAnsi="Times New Roman" w:cs="Times New Roman"/>
          <w:sz w:val="24"/>
          <w:szCs w:val="24"/>
        </w:rPr>
      </w:pPr>
      <w:r w:rsidRPr="00D846D6">
        <w:rPr>
          <w:rFonts w:ascii="Times New Roman" w:hAnsi="Times New Roman" w:cs="Times New Roman"/>
          <w:sz w:val="24"/>
          <w:szCs w:val="24"/>
        </w:rPr>
        <w:t> </w:t>
      </w:r>
    </w:p>
    <w:p w14:paraId="0834782C" w14:textId="77777777" w:rsidR="006409C6" w:rsidRPr="00D846D6" w:rsidRDefault="006409C6" w:rsidP="006409C6">
      <w:pPr>
        <w:spacing w:line="240" w:lineRule="auto"/>
        <w:contextualSpacing/>
        <w:jc w:val="both"/>
        <w:rPr>
          <w:rFonts w:ascii="Times New Roman" w:hAnsi="Times New Roman" w:cs="Times New Roman"/>
          <w:sz w:val="24"/>
          <w:szCs w:val="24"/>
        </w:rPr>
      </w:pPr>
      <w:r w:rsidRPr="00D846D6">
        <w:rPr>
          <w:rFonts w:ascii="Times New Roman" w:hAnsi="Times New Roman" w:cs="Times New Roman"/>
          <w:sz w:val="24"/>
          <w:szCs w:val="24"/>
        </w:rPr>
        <w:t>Les prévisions macro-économiques de Gouvernement pour les années 2023 et 2024 se sont avérées particulièrement optimistes, guidées par une volonté d’affichage d’une trajectoire de réduction du déficit public rapide. Toutefois, la réalité des résultats budgétaires a engendré un important déséquilibre pour les finances publiques, révélant une forte surévaluation des recettes fiscales. Même si ce déséquilibre concerne avant tout les finances de l’Etat, la dégradation des recettes fiscales touche également les collectivités territoriales pour qui elles représentent une part importante des ressources financières, notamment les départements et les régions qui reçoivent une part de la TVA.</w:t>
      </w:r>
    </w:p>
    <w:p w14:paraId="5FF2DA04" w14:textId="77777777" w:rsidR="006409C6" w:rsidRPr="00D846D6" w:rsidRDefault="006409C6" w:rsidP="006409C6">
      <w:pPr>
        <w:spacing w:line="240" w:lineRule="auto"/>
        <w:contextualSpacing/>
        <w:jc w:val="both"/>
        <w:rPr>
          <w:rFonts w:ascii="Times New Roman" w:hAnsi="Times New Roman" w:cs="Times New Roman"/>
          <w:sz w:val="24"/>
          <w:szCs w:val="24"/>
        </w:rPr>
      </w:pPr>
      <w:r w:rsidRPr="00D846D6">
        <w:rPr>
          <w:rFonts w:ascii="Times New Roman" w:hAnsi="Times New Roman" w:cs="Times New Roman"/>
          <w:sz w:val="24"/>
          <w:szCs w:val="24"/>
        </w:rPr>
        <w:t> </w:t>
      </w:r>
    </w:p>
    <w:p w14:paraId="02A2C7D7" w14:textId="77777777" w:rsidR="006409C6" w:rsidRPr="00D846D6" w:rsidRDefault="006409C6" w:rsidP="006409C6">
      <w:pPr>
        <w:spacing w:line="240" w:lineRule="auto"/>
        <w:contextualSpacing/>
        <w:jc w:val="both"/>
        <w:rPr>
          <w:rFonts w:ascii="Times New Roman" w:hAnsi="Times New Roman" w:cs="Times New Roman"/>
          <w:sz w:val="24"/>
          <w:szCs w:val="24"/>
        </w:rPr>
      </w:pPr>
      <w:r w:rsidRPr="00D846D6">
        <w:rPr>
          <w:rFonts w:ascii="Times New Roman" w:hAnsi="Times New Roman" w:cs="Times New Roman"/>
          <w:sz w:val="24"/>
          <w:szCs w:val="24"/>
        </w:rPr>
        <w:t>La France est entrée dans l’année 2024 avec un état des finances publiques parmi les plus dégradées de la zone euro. Il est nécessaire de noter que, selon le niveau de strate, les collectivités ne sont pas impactées de la même manière. Ainsi, le bloc communal a mieux absorbé le choc – du fait de ressources non liées à la conjoncture et d’un levier fiscal – tandis que les Départements et les Régions ont souffert d’une forte détérioration de leur situation.</w:t>
      </w:r>
    </w:p>
    <w:p w14:paraId="39D9244D" w14:textId="77777777" w:rsidR="006409C6" w:rsidRPr="00D846D6" w:rsidRDefault="006409C6" w:rsidP="006409C6">
      <w:pPr>
        <w:spacing w:line="240" w:lineRule="auto"/>
        <w:contextualSpacing/>
        <w:jc w:val="both"/>
        <w:rPr>
          <w:rFonts w:ascii="Times New Roman" w:hAnsi="Times New Roman" w:cs="Times New Roman"/>
          <w:sz w:val="24"/>
          <w:szCs w:val="24"/>
        </w:rPr>
      </w:pPr>
      <w:r w:rsidRPr="00D846D6">
        <w:rPr>
          <w:rFonts w:ascii="Times New Roman" w:hAnsi="Times New Roman" w:cs="Times New Roman"/>
          <w:sz w:val="24"/>
          <w:szCs w:val="24"/>
        </w:rPr>
        <w:t> </w:t>
      </w:r>
    </w:p>
    <w:p w14:paraId="5A52635B" w14:textId="77777777" w:rsidR="006409C6" w:rsidRDefault="006409C6" w:rsidP="006409C6">
      <w:pPr>
        <w:spacing w:line="240" w:lineRule="auto"/>
        <w:contextualSpacing/>
        <w:jc w:val="both"/>
        <w:rPr>
          <w:rFonts w:ascii="Times New Roman" w:hAnsi="Times New Roman" w:cs="Times New Roman"/>
          <w:b/>
          <w:bCs/>
          <w:sz w:val="24"/>
          <w:szCs w:val="24"/>
        </w:rPr>
      </w:pPr>
    </w:p>
    <w:p w14:paraId="25BA928C" w14:textId="77777777" w:rsidR="006409C6" w:rsidRPr="00D846D6" w:rsidRDefault="006409C6" w:rsidP="006409C6">
      <w:pPr>
        <w:spacing w:line="240" w:lineRule="auto"/>
        <w:contextualSpacing/>
        <w:jc w:val="both"/>
        <w:rPr>
          <w:rFonts w:ascii="Times New Roman" w:hAnsi="Times New Roman" w:cs="Times New Roman"/>
          <w:sz w:val="24"/>
          <w:szCs w:val="24"/>
        </w:rPr>
      </w:pPr>
      <w:r w:rsidRPr="00D846D6">
        <w:rPr>
          <w:rFonts w:ascii="Times New Roman" w:hAnsi="Times New Roman" w:cs="Times New Roman"/>
          <w:b/>
          <w:bCs/>
          <w:sz w:val="24"/>
          <w:szCs w:val="24"/>
        </w:rPr>
        <w:t>UNE ANNEE 2025 QUI SERA MARQUEE PAR UNE ORIENTATION DE LA POLITIQUE BUDGETAIRE DE L’ETAT PLUS AUSTERITAIRE</w:t>
      </w:r>
    </w:p>
    <w:p w14:paraId="0194BB56" w14:textId="77777777" w:rsidR="006409C6" w:rsidRPr="00D846D6" w:rsidRDefault="006409C6" w:rsidP="006409C6">
      <w:pPr>
        <w:spacing w:line="240" w:lineRule="auto"/>
        <w:contextualSpacing/>
        <w:jc w:val="both"/>
        <w:rPr>
          <w:rFonts w:ascii="Times New Roman" w:hAnsi="Times New Roman" w:cs="Times New Roman"/>
          <w:sz w:val="24"/>
          <w:szCs w:val="24"/>
        </w:rPr>
      </w:pPr>
      <w:r w:rsidRPr="00D846D6">
        <w:rPr>
          <w:rFonts w:ascii="Times New Roman" w:hAnsi="Times New Roman" w:cs="Times New Roman"/>
          <w:sz w:val="24"/>
          <w:szCs w:val="24"/>
        </w:rPr>
        <w:t> </w:t>
      </w:r>
    </w:p>
    <w:p w14:paraId="41E387BE" w14:textId="77777777" w:rsidR="006409C6" w:rsidRPr="00D846D6" w:rsidRDefault="006409C6" w:rsidP="006409C6">
      <w:pPr>
        <w:spacing w:line="240" w:lineRule="auto"/>
        <w:contextualSpacing/>
        <w:jc w:val="both"/>
        <w:rPr>
          <w:rFonts w:ascii="Times New Roman" w:hAnsi="Times New Roman" w:cs="Times New Roman"/>
          <w:sz w:val="24"/>
          <w:szCs w:val="24"/>
        </w:rPr>
      </w:pPr>
      <w:r w:rsidRPr="00D846D6">
        <w:rPr>
          <w:rFonts w:ascii="Times New Roman" w:hAnsi="Times New Roman" w:cs="Times New Roman"/>
          <w:sz w:val="24"/>
          <w:szCs w:val="24"/>
        </w:rPr>
        <w:t>Les orientations du Gouvernement pour trouver 60 milliards d’euros sur deux axes – une suppression de la CVAE et une réduction des crédits alloués à l’enveloppe de 40 milliards d’euros d’investissement des collectivités – risquent de générer des tensions.</w:t>
      </w:r>
    </w:p>
    <w:p w14:paraId="50DB5206" w14:textId="77777777" w:rsidR="006409C6" w:rsidRPr="00D846D6" w:rsidRDefault="006409C6" w:rsidP="006409C6">
      <w:pPr>
        <w:spacing w:line="240" w:lineRule="auto"/>
        <w:contextualSpacing/>
        <w:jc w:val="both"/>
        <w:rPr>
          <w:rFonts w:ascii="Times New Roman" w:hAnsi="Times New Roman" w:cs="Times New Roman"/>
          <w:sz w:val="24"/>
          <w:szCs w:val="24"/>
        </w:rPr>
      </w:pPr>
      <w:r w:rsidRPr="00D846D6">
        <w:rPr>
          <w:rFonts w:ascii="Times New Roman" w:hAnsi="Times New Roman" w:cs="Times New Roman"/>
          <w:sz w:val="24"/>
          <w:szCs w:val="24"/>
        </w:rPr>
        <w:t> </w:t>
      </w:r>
    </w:p>
    <w:p w14:paraId="08E698DC" w14:textId="77777777" w:rsidR="006409C6" w:rsidRPr="00D846D6" w:rsidRDefault="006409C6" w:rsidP="006409C6">
      <w:pPr>
        <w:spacing w:line="240" w:lineRule="auto"/>
        <w:contextualSpacing/>
        <w:jc w:val="both"/>
        <w:rPr>
          <w:rFonts w:ascii="Times New Roman" w:hAnsi="Times New Roman" w:cs="Times New Roman"/>
          <w:sz w:val="24"/>
          <w:szCs w:val="24"/>
        </w:rPr>
      </w:pPr>
      <w:r w:rsidRPr="00D846D6">
        <w:rPr>
          <w:rFonts w:ascii="Times New Roman" w:hAnsi="Times New Roman" w:cs="Times New Roman"/>
          <w:sz w:val="24"/>
          <w:szCs w:val="24"/>
        </w:rPr>
        <w:t>2025 s’annonce comme une année difficile pour les finances publiques et surtout pour les collectivités territoriales les plus fragiles. L’austérité budgétaire de l’État risque d’affaiblir davantage ces acteurs, déjà grandement impactés en 2023 et 2024 dans un cadre budgétaire de plus en plus contraint et incertain.</w:t>
      </w:r>
    </w:p>
    <w:p w14:paraId="1182D9E3" w14:textId="77777777" w:rsidR="006409C6" w:rsidRPr="00D846D6" w:rsidRDefault="006409C6" w:rsidP="006409C6">
      <w:pPr>
        <w:spacing w:line="240" w:lineRule="auto"/>
        <w:contextualSpacing/>
        <w:jc w:val="both"/>
        <w:rPr>
          <w:rFonts w:ascii="Times New Roman" w:hAnsi="Times New Roman" w:cs="Times New Roman"/>
          <w:sz w:val="24"/>
          <w:szCs w:val="24"/>
        </w:rPr>
      </w:pPr>
      <w:r w:rsidRPr="00D846D6">
        <w:rPr>
          <w:rFonts w:ascii="Times New Roman" w:hAnsi="Times New Roman" w:cs="Times New Roman"/>
          <w:sz w:val="24"/>
          <w:szCs w:val="24"/>
        </w:rPr>
        <w:t>Pourtant, les collectivités ne sont pas responsables de la situation actuelle des finances publiques. La part des administrations publiques locales dans la dette publique est stable depuis plus de trente ans (entre 8 et 10 % du PIB) tandis que celles des administrations de sécurité sociale et des administrations publiques centrales augmentent.</w:t>
      </w:r>
    </w:p>
    <w:p w14:paraId="63ED8226" w14:textId="77777777" w:rsidR="006409C6" w:rsidRPr="00D846D6" w:rsidRDefault="006409C6" w:rsidP="006409C6">
      <w:pPr>
        <w:spacing w:line="240" w:lineRule="auto"/>
        <w:contextualSpacing/>
        <w:jc w:val="both"/>
        <w:rPr>
          <w:rFonts w:ascii="Times New Roman" w:hAnsi="Times New Roman" w:cs="Times New Roman"/>
          <w:sz w:val="24"/>
          <w:szCs w:val="24"/>
        </w:rPr>
      </w:pPr>
      <w:r w:rsidRPr="00D846D6">
        <w:rPr>
          <w:rFonts w:ascii="Times New Roman" w:hAnsi="Times New Roman" w:cs="Times New Roman"/>
          <w:sz w:val="24"/>
          <w:szCs w:val="24"/>
        </w:rPr>
        <w:t> </w:t>
      </w:r>
    </w:p>
    <w:p w14:paraId="29A6DDD9" w14:textId="77777777" w:rsidR="006409C6" w:rsidRPr="00D846D6" w:rsidRDefault="006409C6" w:rsidP="006409C6">
      <w:pPr>
        <w:spacing w:line="240" w:lineRule="auto"/>
        <w:contextualSpacing/>
        <w:jc w:val="both"/>
        <w:rPr>
          <w:rFonts w:ascii="Times New Roman" w:hAnsi="Times New Roman" w:cs="Times New Roman"/>
          <w:sz w:val="24"/>
          <w:szCs w:val="24"/>
        </w:rPr>
      </w:pPr>
      <w:r w:rsidRPr="00D846D6">
        <w:rPr>
          <w:rFonts w:ascii="Times New Roman" w:hAnsi="Times New Roman" w:cs="Times New Roman"/>
          <w:sz w:val="24"/>
          <w:szCs w:val="24"/>
        </w:rPr>
        <w:t>A travers son PLF pour 2025 présenté à l’Assemblée nationale le 10 octobre, le Gouvernement a prévu une baisse de 6,5 milliards d’euros des recettes fiscales et fonds dédiés aux collectivités : baisse d’1,5 milliard du fonds vert, obligation de mise en réserve de crédits via un mécanisme d’épargne forcé représentant 3 milliards d’euros, rabot de 1,2 milliard sur la dynamique de la TVA, réduction de 2 % du taux de remboursement de la TVA via le FCTVA représentant 800 millions d’euros de perte de recettes pour les collectivités, stabilité de l’enveloppe de DGF. Le PLFSS y ajoute une forte augmentation des cotisations CNRACL, qui représente une dépense supplémentaire d’1,3 milliard d’euros pour les employeurs territoriaux. La censure du Gouvernement Barnier a laissé les collectivités territoriales dans l’incertitude quant aux perspectives 2025.</w:t>
      </w:r>
    </w:p>
    <w:p w14:paraId="019992D8" w14:textId="77777777" w:rsidR="006409C6" w:rsidRPr="00D846D6" w:rsidRDefault="006409C6" w:rsidP="006409C6">
      <w:pPr>
        <w:spacing w:line="240" w:lineRule="auto"/>
        <w:contextualSpacing/>
        <w:jc w:val="both"/>
        <w:rPr>
          <w:rFonts w:ascii="Times New Roman" w:hAnsi="Times New Roman" w:cs="Times New Roman"/>
          <w:sz w:val="24"/>
          <w:szCs w:val="24"/>
        </w:rPr>
      </w:pPr>
      <w:r w:rsidRPr="00D846D6">
        <w:rPr>
          <w:rFonts w:ascii="Times New Roman" w:hAnsi="Times New Roman" w:cs="Times New Roman"/>
          <w:sz w:val="24"/>
          <w:szCs w:val="24"/>
        </w:rPr>
        <w:t> </w:t>
      </w:r>
    </w:p>
    <w:p w14:paraId="7BA3271B" w14:textId="77777777" w:rsidR="006409C6" w:rsidRPr="00D846D6" w:rsidRDefault="006409C6" w:rsidP="006409C6">
      <w:pPr>
        <w:spacing w:line="240" w:lineRule="auto"/>
        <w:contextualSpacing/>
        <w:jc w:val="both"/>
        <w:rPr>
          <w:rFonts w:ascii="Times New Roman" w:hAnsi="Times New Roman" w:cs="Times New Roman"/>
          <w:sz w:val="24"/>
          <w:szCs w:val="24"/>
        </w:rPr>
      </w:pPr>
      <w:r w:rsidRPr="00D846D6">
        <w:rPr>
          <w:rFonts w:ascii="Times New Roman" w:hAnsi="Times New Roman" w:cs="Times New Roman"/>
          <w:sz w:val="24"/>
          <w:szCs w:val="24"/>
        </w:rPr>
        <w:t>Le 5 février 2025, le Premier Ministre a engagé la responsabilité du Gouvernement devant l’Assemblée nationale (article 49.3 de la Constitution) pour faire adopter sans vote le PLF et le PLFSS. Parmi les principales mesures pour les collectivités, notons le maintien du taux et du périmètre du FCTVA, la hausse de 3 points du taux de la CNRACL, et une baisse du fonds vert moins que prévu initialement.</w:t>
      </w:r>
    </w:p>
    <w:p w14:paraId="3D203151" w14:textId="77777777" w:rsidR="006409C6" w:rsidRDefault="006409C6" w:rsidP="006409C6">
      <w:pPr>
        <w:spacing w:line="240" w:lineRule="auto"/>
        <w:contextualSpacing/>
        <w:jc w:val="both"/>
        <w:rPr>
          <w:rFonts w:ascii="Times New Roman" w:hAnsi="Times New Roman" w:cs="Times New Roman"/>
          <w:sz w:val="24"/>
          <w:szCs w:val="24"/>
        </w:rPr>
      </w:pPr>
    </w:p>
    <w:p w14:paraId="1710D535" w14:textId="77777777" w:rsidR="006409C6" w:rsidRDefault="006409C6" w:rsidP="006409C6">
      <w:pPr>
        <w:spacing w:line="259" w:lineRule="auto"/>
        <w:rPr>
          <w:rFonts w:ascii="Times New Roman" w:hAnsi="Times New Roman" w:cs="Times New Roman"/>
          <w:sz w:val="24"/>
          <w:szCs w:val="24"/>
        </w:rPr>
      </w:pPr>
      <w:r>
        <w:rPr>
          <w:rFonts w:ascii="Times New Roman" w:hAnsi="Times New Roman" w:cs="Times New Roman"/>
          <w:sz w:val="24"/>
          <w:szCs w:val="24"/>
        </w:rPr>
        <w:br w:type="page"/>
      </w:r>
    </w:p>
    <w:p w14:paraId="7BD0117D" w14:textId="77777777" w:rsidR="006409C6" w:rsidRDefault="006409C6" w:rsidP="006409C6">
      <w:pPr>
        <w:pStyle w:val="Paragraphedeliste"/>
        <w:spacing w:after="0" w:line="240" w:lineRule="auto"/>
        <w:jc w:val="both"/>
        <w:rPr>
          <w:rFonts w:ascii="Times New Roman" w:hAnsi="Times New Roman" w:cs="Times New Roman"/>
          <w:b/>
          <w:bCs/>
          <w:sz w:val="24"/>
          <w:szCs w:val="24"/>
          <w:u w:val="single"/>
        </w:rPr>
      </w:pPr>
    </w:p>
    <w:p w14:paraId="783BF44C" w14:textId="77777777" w:rsidR="006409C6" w:rsidRPr="00FC4F27" w:rsidRDefault="006409C6" w:rsidP="006409C6">
      <w:pPr>
        <w:pStyle w:val="Titre1"/>
        <w:numPr>
          <w:ilvl w:val="0"/>
          <w:numId w:val="3"/>
        </w:numPr>
        <w:tabs>
          <w:tab w:val="num" w:pos="360"/>
        </w:tabs>
        <w:ind w:left="0" w:firstLine="0"/>
        <w:jc w:val="both"/>
        <w:rPr>
          <w:rFonts w:ascii="Times" w:hAnsi="Times" w:cs="Times"/>
          <w:b/>
          <w:bCs/>
          <w:sz w:val="36"/>
          <w:szCs w:val="36"/>
          <w:u w:val="single"/>
        </w:rPr>
      </w:pPr>
      <w:r w:rsidRPr="00FC4F27">
        <w:rPr>
          <w:rFonts w:ascii="Times" w:hAnsi="Times" w:cs="Times"/>
          <w:b/>
          <w:bCs/>
          <w:sz w:val="36"/>
          <w:szCs w:val="36"/>
          <w:u w:val="single"/>
        </w:rPr>
        <w:t>Orientations budgétaires du PETR du Nord de l’Yonne</w:t>
      </w:r>
    </w:p>
    <w:p w14:paraId="2F180C9C" w14:textId="77777777" w:rsidR="006409C6" w:rsidRPr="00FC4F27" w:rsidRDefault="006409C6" w:rsidP="006409C6">
      <w:pPr>
        <w:spacing w:line="240" w:lineRule="auto"/>
        <w:contextualSpacing/>
        <w:jc w:val="both"/>
        <w:rPr>
          <w:rFonts w:ascii="Times" w:hAnsi="Times" w:cs="Times"/>
          <w:sz w:val="24"/>
          <w:szCs w:val="24"/>
        </w:rPr>
      </w:pPr>
    </w:p>
    <w:p w14:paraId="48A88008" w14:textId="77777777" w:rsidR="006409C6" w:rsidRPr="00FC4F27" w:rsidRDefault="006409C6" w:rsidP="006409C6">
      <w:pPr>
        <w:spacing w:line="240" w:lineRule="auto"/>
        <w:contextualSpacing/>
        <w:jc w:val="both"/>
        <w:rPr>
          <w:rFonts w:ascii="Times" w:hAnsi="Times" w:cs="Times"/>
          <w:sz w:val="24"/>
          <w:szCs w:val="24"/>
        </w:rPr>
      </w:pPr>
      <w:r w:rsidRPr="00FC4F27">
        <w:rPr>
          <w:rFonts w:ascii="Times" w:hAnsi="Times" w:cs="Times"/>
          <w:sz w:val="24"/>
          <w:szCs w:val="24"/>
        </w:rPr>
        <w:t xml:space="preserve">Le PETR du Nord de l’Yonne a connu </w:t>
      </w:r>
      <w:r>
        <w:rPr>
          <w:rFonts w:ascii="Times" w:hAnsi="Times" w:cs="Times"/>
          <w:sz w:val="24"/>
          <w:szCs w:val="24"/>
        </w:rPr>
        <w:t xml:space="preserve">une </w:t>
      </w:r>
      <w:r w:rsidRPr="00FC4F27">
        <w:rPr>
          <w:rFonts w:ascii="Times" w:hAnsi="Times" w:cs="Times"/>
          <w:sz w:val="24"/>
          <w:szCs w:val="24"/>
        </w:rPr>
        <w:t>montée en puissance sur l’année 2024. L</w:t>
      </w:r>
      <w:r>
        <w:rPr>
          <w:rFonts w:ascii="Times" w:hAnsi="Times" w:cs="Times"/>
          <w:sz w:val="24"/>
          <w:szCs w:val="24"/>
        </w:rPr>
        <w:t>’</w:t>
      </w:r>
      <w:r w:rsidRPr="00FC4F27">
        <w:rPr>
          <w:rFonts w:ascii="Times" w:hAnsi="Times" w:cs="Times"/>
          <w:sz w:val="24"/>
          <w:szCs w:val="24"/>
        </w:rPr>
        <w:t xml:space="preserve">élaboration du Contrat Local de Santé est arrivée à son terme avec la signature du contrat le 21 janvier dernier, ce dernier entrant désormais dans sa phase de réalisation. La collectivité a également mené à bien le recrutement d’un chargé de mission mobilité et attractivité ce qui lui permettra de travailler à la réalisation du contrat </w:t>
      </w:r>
      <w:proofErr w:type="spellStart"/>
      <w:r w:rsidRPr="00FC4F27">
        <w:rPr>
          <w:rFonts w:ascii="Times" w:hAnsi="Times" w:cs="Times"/>
          <w:sz w:val="24"/>
          <w:szCs w:val="24"/>
        </w:rPr>
        <w:t>fluvestre</w:t>
      </w:r>
      <w:proofErr w:type="spellEnd"/>
      <w:r w:rsidRPr="00FC4F27">
        <w:rPr>
          <w:rFonts w:ascii="Times" w:hAnsi="Times" w:cs="Times"/>
          <w:sz w:val="24"/>
          <w:szCs w:val="24"/>
        </w:rPr>
        <w:t xml:space="preserve"> qui lie le PETR au Conseil Régional.</w:t>
      </w:r>
    </w:p>
    <w:p w14:paraId="03449810" w14:textId="77777777" w:rsidR="006409C6" w:rsidRPr="00FC4F27" w:rsidRDefault="006409C6" w:rsidP="006409C6">
      <w:pPr>
        <w:spacing w:line="240" w:lineRule="auto"/>
        <w:contextualSpacing/>
        <w:jc w:val="both"/>
        <w:rPr>
          <w:rFonts w:ascii="Times" w:hAnsi="Times" w:cs="Times"/>
          <w:sz w:val="24"/>
          <w:szCs w:val="24"/>
        </w:rPr>
      </w:pPr>
    </w:p>
    <w:p w14:paraId="798A5987" w14:textId="77777777" w:rsidR="006409C6" w:rsidRPr="00FC4F27" w:rsidRDefault="006409C6" w:rsidP="006409C6">
      <w:pPr>
        <w:spacing w:line="240" w:lineRule="auto"/>
        <w:contextualSpacing/>
        <w:jc w:val="both"/>
        <w:rPr>
          <w:rFonts w:ascii="Times" w:hAnsi="Times" w:cs="Times"/>
          <w:sz w:val="24"/>
          <w:szCs w:val="24"/>
        </w:rPr>
      </w:pPr>
      <w:r w:rsidRPr="00FC4F27">
        <w:rPr>
          <w:rFonts w:ascii="Times" w:hAnsi="Times" w:cs="Times"/>
          <w:sz w:val="24"/>
          <w:szCs w:val="24"/>
        </w:rPr>
        <w:t xml:space="preserve">Cette montée en puissance se traduit par une augmentation du budget pour l’année 2025. Celui-ci s’explique en premier lieu par les </w:t>
      </w:r>
      <w:r w:rsidRPr="00FC4F27">
        <w:rPr>
          <w:rFonts w:ascii="Times" w:hAnsi="Times" w:cs="Times"/>
          <w:b/>
          <w:bCs/>
          <w:sz w:val="24"/>
          <w:szCs w:val="24"/>
        </w:rPr>
        <w:t>trois recrutements effectués</w:t>
      </w:r>
      <w:r w:rsidRPr="00FC4F27">
        <w:rPr>
          <w:rFonts w:ascii="Times" w:hAnsi="Times" w:cs="Times"/>
          <w:sz w:val="24"/>
          <w:szCs w:val="24"/>
        </w:rPr>
        <w:t xml:space="preserve"> : deux pour l’animation du CLS et celui précédemment évoqué. Ces recrutements ayant été effectués au cours de l’année 2024, 2025 sera la première année complète pour l’ensemble des postes expliquant ainsi l’augmentation importante des coûts en ressources humaines. </w:t>
      </w:r>
      <w:r w:rsidRPr="00FC4F27">
        <w:rPr>
          <w:rFonts w:ascii="Times" w:hAnsi="Times" w:cs="Times"/>
          <w:b/>
          <w:bCs/>
          <w:sz w:val="24"/>
          <w:szCs w:val="24"/>
        </w:rPr>
        <w:t>La réalisation du programme d’action du CLS</w:t>
      </w:r>
      <w:r w:rsidRPr="00FC4F27">
        <w:rPr>
          <w:rFonts w:ascii="Times" w:hAnsi="Times" w:cs="Times"/>
          <w:sz w:val="24"/>
          <w:szCs w:val="24"/>
        </w:rPr>
        <w:t xml:space="preserve"> nécessite aussi une augmentation budgétaire par rapport à 2024 où la phase de réalisation du contrat n’est intervenue qu’au cours de l’année.</w:t>
      </w:r>
    </w:p>
    <w:p w14:paraId="4B998755" w14:textId="77777777" w:rsidR="006409C6" w:rsidRPr="00FC4F27" w:rsidRDefault="006409C6" w:rsidP="006409C6">
      <w:pPr>
        <w:spacing w:line="240" w:lineRule="auto"/>
        <w:contextualSpacing/>
        <w:jc w:val="both"/>
        <w:rPr>
          <w:rFonts w:ascii="Times" w:hAnsi="Times" w:cs="Times"/>
          <w:sz w:val="24"/>
          <w:szCs w:val="24"/>
        </w:rPr>
      </w:pPr>
    </w:p>
    <w:p w14:paraId="5BE99906" w14:textId="77777777" w:rsidR="006409C6" w:rsidRPr="009D5398" w:rsidRDefault="006409C6" w:rsidP="006409C6">
      <w:pPr>
        <w:spacing w:line="240" w:lineRule="auto"/>
        <w:contextualSpacing/>
        <w:jc w:val="both"/>
        <w:rPr>
          <w:rFonts w:ascii="Times" w:hAnsi="Times" w:cs="Times"/>
          <w:sz w:val="24"/>
          <w:szCs w:val="24"/>
        </w:rPr>
      </w:pPr>
      <w:r w:rsidRPr="00FC4F27">
        <w:rPr>
          <w:rFonts w:ascii="Times" w:hAnsi="Times" w:cs="Times"/>
          <w:sz w:val="24"/>
          <w:szCs w:val="24"/>
        </w:rPr>
        <w:t xml:space="preserve">Enfin, </w:t>
      </w:r>
      <w:r w:rsidRPr="00FC4F27">
        <w:rPr>
          <w:rFonts w:ascii="Times" w:hAnsi="Times" w:cs="Times"/>
          <w:b/>
          <w:bCs/>
          <w:sz w:val="24"/>
          <w:szCs w:val="24"/>
        </w:rPr>
        <w:t xml:space="preserve">la réalisation d’un schéma directeur </w:t>
      </w:r>
      <w:r>
        <w:rPr>
          <w:rFonts w:ascii="Times" w:hAnsi="Times" w:cs="Times"/>
          <w:b/>
          <w:bCs/>
          <w:sz w:val="24"/>
          <w:szCs w:val="24"/>
        </w:rPr>
        <w:t>cyclable</w:t>
      </w:r>
      <w:r w:rsidRPr="00FC4F27">
        <w:rPr>
          <w:rFonts w:ascii="Times" w:hAnsi="Times" w:cs="Times"/>
          <w:sz w:val="24"/>
          <w:szCs w:val="24"/>
        </w:rPr>
        <w:t xml:space="preserve"> </w:t>
      </w:r>
      <w:r>
        <w:rPr>
          <w:rFonts w:ascii="Times" w:hAnsi="Times" w:cs="Times"/>
          <w:sz w:val="24"/>
          <w:szCs w:val="24"/>
        </w:rPr>
        <w:t xml:space="preserve">permettra de disposer d’un document de planification prévoyant l’ensemble des aménagements à réaliser sur le territoire en faveur des mobilités durables. Cette réalisation </w:t>
      </w:r>
      <w:r w:rsidRPr="00FC4F27">
        <w:rPr>
          <w:rFonts w:ascii="Times" w:hAnsi="Times" w:cs="Times"/>
          <w:sz w:val="24"/>
          <w:szCs w:val="24"/>
        </w:rPr>
        <w:t xml:space="preserve">constituera une dépense supplémentaire pour l’année 2025. </w:t>
      </w:r>
      <w:r w:rsidRPr="009D5398">
        <w:rPr>
          <w:rFonts w:ascii="Times" w:hAnsi="Times" w:cs="Times"/>
          <w:sz w:val="24"/>
          <w:szCs w:val="24"/>
        </w:rPr>
        <w:t>Ce projet est fléché sur la section d'investissement et sera financé par le Fonds National d'Aménagement du Territoire (FNADT) et par le dispositif AVELO</w:t>
      </w:r>
      <w:r>
        <w:rPr>
          <w:rFonts w:ascii="Times" w:hAnsi="Times" w:cs="Times"/>
          <w:sz w:val="24"/>
          <w:szCs w:val="24"/>
        </w:rPr>
        <w:t xml:space="preserve"> 3</w:t>
      </w:r>
      <w:r w:rsidRPr="009D5398">
        <w:rPr>
          <w:rFonts w:ascii="Times" w:hAnsi="Times" w:cs="Times"/>
          <w:sz w:val="24"/>
          <w:szCs w:val="24"/>
        </w:rPr>
        <w:t xml:space="preserve"> de l'ADEME. Le reste à charge sera financé par l'excédent de la section d'investissement.</w:t>
      </w:r>
    </w:p>
    <w:p w14:paraId="2BA07085" w14:textId="77777777" w:rsidR="006409C6" w:rsidRDefault="006409C6" w:rsidP="006409C6">
      <w:pPr>
        <w:spacing w:line="240" w:lineRule="auto"/>
        <w:contextualSpacing/>
        <w:jc w:val="both"/>
        <w:rPr>
          <w:rFonts w:ascii="Times New Roman" w:hAnsi="Times New Roman" w:cs="Times New Roman"/>
          <w:sz w:val="24"/>
          <w:szCs w:val="24"/>
        </w:rPr>
        <w:sectPr w:rsidR="006409C6" w:rsidSect="006409C6">
          <w:headerReference w:type="default" r:id="rId6"/>
          <w:pgSz w:w="11906" w:h="16838"/>
          <w:pgMar w:top="1417" w:right="1417" w:bottom="1417" w:left="1417" w:header="708" w:footer="708" w:gutter="0"/>
          <w:cols w:space="708"/>
          <w:docGrid w:linePitch="360"/>
        </w:sectPr>
      </w:pPr>
    </w:p>
    <w:p w14:paraId="45096307" w14:textId="77777777" w:rsidR="006409C6" w:rsidRDefault="006409C6" w:rsidP="006409C6">
      <w:pPr>
        <w:spacing w:line="240" w:lineRule="auto"/>
        <w:contextualSpacing/>
        <w:jc w:val="both"/>
        <w:rPr>
          <w:rFonts w:ascii="Times New Roman" w:hAnsi="Times New Roman" w:cs="Times New Roman"/>
          <w:sz w:val="24"/>
          <w:szCs w:val="24"/>
        </w:rPr>
      </w:pPr>
    </w:p>
    <w:p w14:paraId="1428CCAD" w14:textId="77777777" w:rsidR="006409C6" w:rsidRDefault="006409C6" w:rsidP="006409C6">
      <w:pPr>
        <w:pStyle w:val="Titre2"/>
        <w:numPr>
          <w:ilvl w:val="0"/>
          <w:numId w:val="2"/>
        </w:numPr>
        <w:ind w:left="720"/>
        <w:rPr>
          <w:rFonts w:ascii="Times" w:eastAsiaTheme="minorHAnsi" w:hAnsi="Times" w:cs="Times"/>
          <w:b/>
          <w:bCs/>
          <w:u w:val="single"/>
        </w:rPr>
      </w:pPr>
      <w:r w:rsidRPr="00815113">
        <w:rPr>
          <w:rFonts w:ascii="Times" w:eastAsiaTheme="minorHAnsi" w:hAnsi="Times" w:cs="Times"/>
          <w:b/>
          <w:bCs/>
          <w:u w:val="single"/>
        </w:rPr>
        <w:t>Projection des dépenses de fonctionnement 202</w:t>
      </w:r>
      <w:r>
        <w:rPr>
          <w:rFonts w:ascii="Times" w:eastAsiaTheme="minorHAnsi" w:hAnsi="Times" w:cs="Times"/>
          <w:b/>
          <w:bCs/>
          <w:u w:val="single"/>
        </w:rPr>
        <w:t>4</w:t>
      </w:r>
      <w:r w:rsidRPr="00286657">
        <w:rPr>
          <w:rFonts w:ascii="Times" w:eastAsiaTheme="minorHAnsi" w:hAnsi="Times" w:cs="Times"/>
          <w:b/>
          <w:bCs/>
          <w:u w:val="single"/>
        </w:rPr>
        <w:t xml:space="preserve"> : </w:t>
      </w:r>
    </w:p>
    <w:tbl>
      <w:tblPr>
        <w:tblpPr w:leftFromText="141" w:rightFromText="141" w:vertAnchor="text" w:horzAnchor="margin" w:tblpY="295"/>
        <w:tblW w:w="14005" w:type="dxa"/>
        <w:tblCellMar>
          <w:left w:w="70" w:type="dxa"/>
          <w:right w:w="70" w:type="dxa"/>
        </w:tblCellMar>
        <w:tblLook w:val="04A0" w:firstRow="1" w:lastRow="0" w:firstColumn="1" w:lastColumn="0" w:noHBand="0" w:noVBand="1"/>
      </w:tblPr>
      <w:tblGrid>
        <w:gridCol w:w="1072"/>
        <w:gridCol w:w="940"/>
        <w:gridCol w:w="7032"/>
        <w:gridCol w:w="1418"/>
        <w:gridCol w:w="1417"/>
        <w:gridCol w:w="2126"/>
      </w:tblGrid>
      <w:tr w:rsidR="006409C6" w:rsidRPr="004E51A8" w14:paraId="2B35A155" w14:textId="77777777" w:rsidTr="009A457B">
        <w:trPr>
          <w:trHeight w:val="535"/>
        </w:trPr>
        <w:tc>
          <w:tcPr>
            <w:tcW w:w="107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C40C71C" w14:textId="77777777" w:rsidR="006409C6" w:rsidRPr="004E51A8" w:rsidRDefault="006409C6" w:rsidP="009A457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Code fonction</w:t>
            </w:r>
          </w:p>
        </w:tc>
        <w:tc>
          <w:tcPr>
            <w:tcW w:w="940" w:type="dxa"/>
            <w:tcBorders>
              <w:top w:val="single" w:sz="4" w:space="0" w:color="auto"/>
              <w:left w:val="nil"/>
              <w:bottom w:val="single" w:sz="4" w:space="0" w:color="auto"/>
              <w:right w:val="single" w:sz="4" w:space="0" w:color="auto"/>
            </w:tcBorders>
            <w:shd w:val="clear" w:color="000000" w:fill="D9D9D9"/>
            <w:vAlign w:val="center"/>
            <w:hideMark/>
          </w:tcPr>
          <w:p w14:paraId="5C237B33" w14:textId="77777777" w:rsidR="006409C6" w:rsidRPr="004E51A8" w:rsidRDefault="006409C6" w:rsidP="009A457B">
            <w:pPr>
              <w:spacing w:after="0" w:line="240" w:lineRule="auto"/>
              <w:jc w:val="center"/>
              <w:rPr>
                <w:rFonts w:ascii="Arial" w:eastAsia="Times New Roman" w:hAnsi="Arial" w:cs="Arial"/>
                <w:color w:val="000000"/>
                <w:sz w:val="20"/>
                <w:szCs w:val="20"/>
              </w:rPr>
            </w:pPr>
            <w:r w:rsidRPr="004E51A8">
              <w:rPr>
                <w:rFonts w:ascii="Arial" w:eastAsia="Times New Roman" w:hAnsi="Arial" w:cs="Arial"/>
                <w:color w:val="000000"/>
                <w:sz w:val="20"/>
                <w:szCs w:val="20"/>
              </w:rPr>
              <w:t>Nature (Code)</w:t>
            </w:r>
          </w:p>
        </w:tc>
        <w:tc>
          <w:tcPr>
            <w:tcW w:w="7032" w:type="dxa"/>
            <w:tcBorders>
              <w:top w:val="single" w:sz="4" w:space="0" w:color="auto"/>
              <w:left w:val="nil"/>
              <w:bottom w:val="single" w:sz="4" w:space="0" w:color="auto"/>
              <w:right w:val="single" w:sz="4" w:space="0" w:color="auto"/>
            </w:tcBorders>
            <w:shd w:val="clear" w:color="000000" w:fill="D9D9D9"/>
            <w:vAlign w:val="center"/>
            <w:hideMark/>
          </w:tcPr>
          <w:p w14:paraId="583A4172" w14:textId="77777777" w:rsidR="006409C6" w:rsidRPr="004E51A8" w:rsidRDefault="006409C6" w:rsidP="009A457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Compte</w:t>
            </w:r>
          </w:p>
        </w:tc>
        <w:tc>
          <w:tcPr>
            <w:tcW w:w="1418" w:type="dxa"/>
            <w:tcBorders>
              <w:top w:val="single" w:sz="4" w:space="0" w:color="auto"/>
              <w:left w:val="nil"/>
              <w:bottom w:val="single" w:sz="4" w:space="0" w:color="auto"/>
              <w:right w:val="single" w:sz="4" w:space="0" w:color="auto"/>
            </w:tcBorders>
            <w:shd w:val="clear" w:color="000000" w:fill="D9D9D9"/>
            <w:vAlign w:val="center"/>
            <w:hideMark/>
          </w:tcPr>
          <w:p w14:paraId="4DED9E29" w14:textId="77777777" w:rsidR="006409C6" w:rsidRPr="004E51A8" w:rsidRDefault="006409C6" w:rsidP="009A457B">
            <w:pPr>
              <w:spacing w:after="0" w:line="240" w:lineRule="auto"/>
              <w:jc w:val="center"/>
              <w:rPr>
                <w:rFonts w:ascii="Arial" w:eastAsia="Times New Roman" w:hAnsi="Arial" w:cs="Arial"/>
                <w:color w:val="000000"/>
                <w:sz w:val="20"/>
                <w:szCs w:val="20"/>
              </w:rPr>
            </w:pPr>
            <w:r w:rsidRPr="004E51A8">
              <w:rPr>
                <w:rFonts w:ascii="Arial" w:eastAsia="Times New Roman" w:hAnsi="Arial" w:cs="Arial"/>
                <w:color w:val="000000"/>
                <w:sz w:val="20"/>
                <w:szCs w:val="20"/>
              </w:rPr>
              <w:t>BP 2024</w:t>
            </w:r>
          </w:p>
        </w:tc>
        <w:tc>
          <w:tcPr>
            <w:tcW w:w="1417" w:type="dxa"/>
            <w:tcBorders>
              <w:top w:val="single" w:sz="4" w:space="0" w:color="auto"/>
              <w:left w:val="nil"/>
              <w:bottom w:val="single" w:sz="4" w:space="0" w:color="auto"/>
              <w:right w:val="single" w:sz="4" w:space="0" w:color="auto"/>
            </w:tcBorders>
            <w:shd w:val="clear" w:color="000000" w:fill="D9D9D9"/>
            <w:vAlign w:val="center"/>
            <w:hideMark/>
          </w:tcPr>
          <w:p w14:paraId="2FD96C61" w14:textId="77777777" w:rsidR="006409C6" w:rsidRPr="004E51A8" w:rsidRDefault="006409C6" w:rsidP="009A457B">
            <w:pPr>
              <w:spacing w:after="0" w:line="240" w:lineRule="auto"/>
              <w:jc w:val="center"/>
              <w:rPr>
                <w:rFonts w:ascii="Arial" w:eastAsia="Times New Roman" w:hAnsi="Arial" w:cs="Arial"/>
                <w:color w:val="000000"/>
                <w:sz w:val="20"/>
                <w:szCs w:val="20"/>
              </w:rPr>
            </w:pPr>
            <w:r w:rsidRPr="004E51A8">
              <w:rPr>
                <w:rFonts w:ascii="Arial" w:eastAsia="Times New Roman" w:hAnsi="Arial" w:cs="Arial"/>
                <w:color w:val="000000"/>
                <w:sz w:val="20"/>
                <w:szCs w:val="20"/>
              </w:rPr>
              <w:t xml:space="preserve">Total réalisé </w:t>
            </w:r>
            <w:r>
              <w:rPr>
                <w:rFonts w:ascii="Arial" w:eastAsia="Times New Roman" w:hAnsi="Arial" w:cs="Arial"/>
                <w:color w:val="000000"/>
                <w:sz w:val="20"/>
                <w:szCs w:val="20"/>
              </w:rPr>
              <w:t>2024</w:t>
            </w:r>
          </w:p>
        </w:tc>
        <w:tc>
          <w:tcPr>
            <w:tcW w:w="2126" w:type="dxa"/>
            <w:tcBorders>
              <w:top w:val="single" w:sz="4" w:space="0" w:color="auto"/>
              <w:left w:val="nil"/>
              <w:bottom w:val="single" w:sz="4" w:space="0" w:color="auto"/>
              <w:right w:val="single" w:sz="4" w:space="0" w:color="auto"/>
            </w:tcBorders>
            <w:shd w:val="clear" w:color="000000" w:fill="D9D9D9"/>
            <w:vAlign w:val="center"/>
            <w:hideMark/>
          </w:tcPr>
          <w:p w14:paraId="431F84C7" w14:textId="77777777" w:rsidR="006409C6" w:rsidRPr="004E51A8" w:rsidRDefault="006409C6" w:rsidP="009A457B">
            <w:pPr>
              <w:spacing w:after="0" w:line="240" w:lineRule="auto"/>
              <w:jc w:val="center"/>
              <w:rPr>
                <w:rFonts w:ascii="Arial" w:eastAsia="Times New Roman" w:hAnsi="Arial" w:cs="Arial"/>
                <w:color w:val="000000"/>
                <w:sz w:val="20"/>
                <w:szCs w:val="20"/>
              </w:rPr>
            </w:pPr>
            <w:r w:rsidRPr="004E51A8">
              <w:rPr>
                <w:rFonts w:ascii="Arial" w:eastAsia="Times New Roman" w:hAnsi="Arial" w:cs="Arial"/>
                <w:color w:val="000000"/>
                <w:sz w:val="20"/>
                <w:szCs w:val="20"/>
              </w:rPr>
              <w:t>Proposition budget 2025</w:t>
            </w:r>
          </w:p>
        </w:tc>
      </w:tr>
      <w:tr w:rsidR="006409C6" w:rsidRPr="004E51A8" w14:paraId="25BB9CF7" w14:textId="77777777" w:rsidTr="009A457B">
        <w:trPr>
          <w:trHeight w:val="538"/>
        </w:trPr>
        <w:tc>
          <w:tcPr>
            <w:tcW w:w="1072" w:type="dxa"/>
            <w:tcBorders>
              <w:top w:val="nil"/>
              <w:left w:val="single" w:sz="4" w:space="0" w:color="auto"/>
              <w:bottom w:val="single" w:sz="4" w:space="0" w:color="auto"/>
              <w:right w:val="single" w:sz="4" w:space="0" w:color="auto"/>
            </w:tcBorders>
            <w:shd w:val="clear" w:color="000000" w:fill="FFFFFF"/>
            <w:noWrap/>
            <w:vAlign w:val="center"/>
            <w:hideMark/>
          </w:tcPr>
          <w:p w14:paraId="437B07F4" w14:textId="77777777" w:rsidR="006409C6" w:rsidRPr="004E51A8" w:rsidRDefault="006409C6" w:rsidP="009A457B">
            <w:pPr>
              <w:spacing w:after="0" w:line="240" w:lineRule="auto"/>
              <w:jc w:val="center"/>
              <w:rPr>
                <w:rFonts w:ascii="Arial" w:eastAsia="Times New Roman" w:hAnsi="Arial" w:cs="Arial"/>
                <w:color w:val="000000"/>
                <w:sz w:val="20"/>
                <w:szCs w:val="20"/>
              </w:rPr>
            </w:pPr>
            <w:r w:rsidRPr="004E51A8">
              <w:rPr>
                <w:rFonts w:ascii="Arial" w:eastAsia="Times New Roman" w:hAnsi="Arial" w:cs="Arial"/>
                <w:color w:val="000000"/>
                <w:sz w:val="20"/>
                <w:szCs w:val="20"/>
              </w:rPr>
              <w:t>01</w:t>
            </w:r>
          </w:p>
        </w:tc>
        <w:tc>
          <w:tcPr>
            <w:tcW w:w="940" w:type="dxa"/>
            <w:tcBorders>
              <w:top w:val="nil"/>
              <w:left w:val="nil"/>
              <w:bottom w:val="single" w:sz="4" w:space="0" w:color="auto"/>
              <w:right w:val="single" w:sz="4" w:space="0" w:color="auto"/>
            </w:tcBorders>
            <w:shd w:val="clear" w:color="000000" w:fill="FFFFFF"/>
            <w:noWrap/>
            <w:vAlign w:val="center"/>
            <w:hideMark/>
          </w:tcPr>
          <w:p w14:paraId="61ECFFD1" w14:textId="77777777" w:rsidR="006409C6" w:rsidRPr="004E51A8" w:rsidRDefault="006409C6" w:rsidP="009A457B">
            <w:pPr>
              <w:spacing w:after="0" w:line="240" w:lineRule="auto"/>
              <w:jc w:val="center"/>
              <w:rPr>
                <w:rFonts w:ascii="Arial" w:eastAsia="Times New Roman" w:hAnsi="Arial" w:cs="Arial"/>
                <w:color w:val="000000"/>
                <w:sz w:val="20"/>
                <w:szCs w:val="20"/>
              </w:rPr>
            </w:pPr>
            <w:r w:rsidRPr="004E51A8">
              <w:rPr>
                <w:rFonts w:ascii="Arial" w:eastAsia="Times New Roman" w:hAnsi="Arial" w:cs="Arial"/>
                <w:color w:val="000000"/>
                <w:sz w:val="20"/>
                <w:szCs w:val="20"/>
              </w:rPr>
              <w:t>6811</w:t>
            </w:r>
          </w:p>
        </w:tc>
        <w:tc>
          <w:tcPr>
            <w:tcW w:w="7032" w:type="dxa"/>
            <w:tcBorders>
              <w:top w:val="nil"/>
              <w:left w:val="nil"/>
              <w:bottom w:val="single" w:sz="4" w:space="0" w:color="auto"/>
              <w:right w:val="single" w:sz="4" w:space="0" w:color="auto"/>
            </w:tcBorders>
            <w:shd w:val="clear" w:color="000000" w:fill="FFFFFF"/>
            <w:vAlign w:val="center"/>
            <w:hideMark/>
          </w:tcPr>
          <w:p w14:paraId="5C1EEF82" w14:textId="77777777" w:rsidR="006409C6" w:rsidRPr="004E51A8" w:rsidRDefault="006409C6" w:rsidP="009A457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DOTATIONS AUX AMORTISSEMENTS</w:t>
            </w:r>
          </w:p>
        </w:tc>
        <w:tc>
          <w:tcPr>
            <w:tcW w:w="1418" w:type="dxa"/>
            <w:tcBorders>
              <w:top w:val="nil"/>
              <w:left w:val="nil"/>
              <w:bottom w:val="single" w:sz="4" w:space="0" w:color="auto"/>
              <w:right w:val="single" w:sz="4" w:space="0" w:color="auto"/>
            </w:tcBorders>
            <w:shd w:val="clear" w:color="000000" w:fill="FFFFFF"/>
            <w:noWrap/>
            <w:vAlign w:val="center"/>
            <w:hideMark/>
          </w:tcPr>
          <w:p w14:paraId="29D72E5C" w14:textId="77777777" w:rsidR="006409C6" w:rsidRPr="004E51A8" w:rsidRDefault="006409C6" w:rsidP="009A457B">
            <w:pPr>
              <w:spacing w:after="0" w:line="240" w:lineRule="auto"/>
              <w:jc w:val="center"/>
              <w:rPr>
                <w:rFonts w:ascii="Arial" w:eastAsia="Times New Roman" w:hAnsi="Arial" w:cs="Arial"/>
                <w:color w:val="000000"/>
                <w:sz w:val="20"/>
                <w:szCs w:val="20"/>
              </w:rPr>
            </w:pPr>
            <w:r w:rsidRPr="004E51A8">
              <w:rPr>
                <w:rFonts w:ascii="Arial" w:eastAsia="Times New Roman" w:hAnsi="Arial" w:cs="Arial"/>
                <w:color w:val="000000"/>
                <w:sz w:val="20"/>
                <w:szCs w:val="20"/>
              </w:rPr>
              <w:t>50 000,00</w:t>
            </w:r>
          </w:p>
        </w:tc>
        <w:tc>
          <w:tcPr>
            <w:tcW w:w="1417" w:type="dxa"/>
            <w:tcBorders>
              <w:top w:val="nil"/>
              <w:left w:val="nil"/>
              <w:bottom w:val="single" w:sz="4" w:space="0" w:color="auto"/>
              <w:right w:val="single" w:sz="4" w:space="0" w:color="auto"/>
            </w:tcBorders>
            <w:shd w:val="clear" w:color="000000" w:fill="FFFFFF"/>
            <w:noWrap/>
            <w:vAlign w:val="center"/>
            <w:hideMark/>
          </w:tcPr>
          <w:p w14:paraId="3F1A5AFC" w14:textId="77777777" w:rsidR="006409C6" w:rsidRPr="004E51A8" w:rsidRDefault="006409C6" w:rsidP="009A457B">
            <w:pPr>
              <w:spacing w:after="0" w:line="240" w:lineRule="auto"/>
              <w:jc w:val="center"/>
              <w:rPr>
                <w:rFonts w:ascii="Arial" w:eastAsia="Times New Roman" w:hAnsi="Arial" w:cs="Arial"/>
                <w:color w:val="000000"/>
                <w:sz w:val="20"/>
                <w:szCs w:val="20"/>
              </w:rPr>
            </w:pPr>
            <w:r w:rsidRPr="004E51A8">
              <w:rPr>
                <w:rFonts w:ascii="Arial" w:eastAsia="Times New Roman" w:hAnsi="Arial" w:cs="Arial"/>
                <w:color w:val="000000"/>
                <w:sz w:val="20"/>
                <w:szCs w:val="20"/>
              </w:rPr>
              <w:t>26 194,24</w:t>
            </w:r>
          </w:p>
        </w:tc>
        <w:tc>
          <w:tcPr>
            <w:tcW w:w="2126" w:type="dxa"/>
            <w:tcBorders>
              <w:top w:val="nil"/>
              <w:left w:val="nil"/>
              <w:bottom w:val="single" w:sz="4" w:space="0" w:color="auto"/>
              <w:right w:val="single" w:sz="4" w:space="0" w:color="auto"/>
            </w:tcBorders>
            <w:shd w:val="clear" w:color="000000" w:fill="FFFFFF"/>
            <w:noWrap/>
            <w:vAlign w:val="center"/>
            <w:hideMark/>
          </w:tcPr>
          <w:p w14:paraId="71214E09" w14:textId="77777777" w:rsidR="006409C6" w:rsidRPr="004E51A8" w:rsidRDefault="006409C6" w:rsidP="009A457B">
            <w:pPr>
              <w:spacing w:after="0" w:line="240" w:lineRule="auto"/>
              <w:jc w:val="center"/>
              <w:rPr>
                <w:rFonts w:ascii="Arial" w:eastAsia="Times New Roman" w:hAnsi="Arial" w:cs="Arial"/>
                <w:color w:val="000000"/>
                <w:sz w:val="20"/>
                <w:szCs w:val="20"/>
              </w:rPr>
            </w:pPr>
            <w:r w:rsidRPr="004E51A8">
              <w:rPr>
                <w:rFonts w:ascii="Arial" w:eastAsia="Times New Roman" w:hAnsi="Arial" w:cs="Arial"/>
                <w:color w:val="000000"/>
                <w:sz w:val="20"/>
                <w:szCs w:val="20"/>
              </w:rPr>
              <w:t>30 000,00</w:t>
            </w:r>
          </w:p>
        </w:tc>
      </w:tr>
      <w:tr w:rsidR="006409C6" w:rsidRPr="004E51A8" w14:paraId="0EDC1154" w14:textId="77777777" w:rsidTr="009A457B">
        <w:trPr>
          <w:trHeight w:val="538"/>
        </w:trPr>
        <w:tc>
          <w:tcPr>
            <w:tcW w:w="1072" w:type="dxa"/>
            <w:tcBorders>
              <w:top w:val="nil"/>
              <w:left w:val="single" w:sz="4" w:space="0" w:color="auto"/>
              <w:bottom w:val="single" w:sz="4" w:space="0" w:color="auto"/>
              <w:right w:val="single" w:sz="4" w:space="0" w:color="auto"/>
            </w:tcBorders>
            <w:shd w:val="clear" w:color="000000" w:fill="FFFFFF"/>
            <w:noWrap/>
            <w:vAlign w:val="center"/>
            <w:hideMark/>
          </w:tcPr>
          <w:p w14:paraId="29818693" w14:textId="77777777" w:rsidR="006409C6" w:rsidRPr="004E51A8" w:rsidRDefault="006409C6" w:rsidP="009A457B">
            <w:pPr>
              <w:spacing w:after="0" w:line="240" w:lineRule="auto"/>
              <w:jc w:val="center"/>
              <w:rPr>
                <w:rFonts w:ascii="Arial" w:eastAsia="Times New Roman" w:hAnsi="Arial" w:cs="Arial"/>
                <w:color w:val="000000"/>
                <w:sz w:val="20"/>
                <w:szCs w:val="20"/>
              </w:rPr>
            </w:pPr>
            <w:r w:rsidRPr="004E51A8">
              <w:rPr>
                <w:rFonts w:ascii="Arial" w:eastAsia="Times New Roman" w:hAnsi="Arial" w:cs="Arial"/>
                <w:color w:val="000000"/>
                <w:sz w:val="20"/>
                <w:szCs w:val="20"/>
              </w:rPr>
              <w:t>020</w:t>
            </w:r>
          </w:p>
        </w:tc>
        <w:tc>
          <w:tcPr>
            <w:tcW w:w="940" w:type="dxa"/>
            <w:tcBorders>
              <w:top w:val="nil"/>
              <w:left w:val="nil"/>
              <w:bottom w:val="single" w:sz="4" w:space="0" w:color="auto"/>
              <w:right w:val="single" w:sz="4" w:space="0" w:color="auto"/>
            </w:tcBorders>
            <w:shd w:val="clear" w:color="000000" w:fill="FFFFFF"/>
            <w:noWrap/>
            <w:vAlign w:val="center"/>
            <w:hideMark/>
          </w:tcPr>
          <w:p w14:paraId="69147CE2" w14:textId="77777777" w:rsidR="006409C6" w:rsidRPr="004E51A8" w:rsidRDefault="006409C6" w:rsidP="009A457B">
            <w:pPr>
              <w:spacing w:after="0" w:line="240" w:lineRule="auto"/>
              <w:jc w:val="center"/>
              <w:rPr>
                <w:rFonts w:ascii="Arial" w:eastAsia="Times New Roman" w:hAnsi="Arial" w:cs="Arial"/>
                <w:color w:val="000000"/>
                <w:sz w:val="20"/>
                <w:szCs w:val="20"/>
              </w:rPr>
            </w:pPr>
            <w:r w:rsidRPr="004E51A8">
              <w:rPr>
                <w:rFonts w:ascii="Arial" w:eastAsia="Times New Roman" w:hAnsi="Arial" w:cs="Arial"/>
                <w:color w:val="000000"/>
                <w:sz w:val="20"/>
                <w:szCs w:val="20"/>
              </w:rPr>
              <w:t>60631</w:t>
            </w:r>
          </w:p>
        </w:tc>
        <w:tc>
          <w:tcPr>
            <w:tcW w:w="7032" w:type="dxa"/>
            <w:tcBorders>
              <w:top w:val="nil"/>
              <w:left w:val="nil"/>
              <w:bottom w:val="single" w:sz="4" w:space="0" w:color="auto"/>
              <w:right w:val="single" w:sz="4" w:space="0" w:color="auto"/>
            </w:tcBorders>
            <w:shd w:val="clear" w:color="000000" w:fill="FFFFFF"/>
            <w:vAlign w:val="center"/>
            <w:hideMark/>
          </w:tcPr>
          <w:p w14:paraId="5207CEE1" w14:textId="77777777" w:rsidR="006409C6" w:rsidRPr="004E51A8" w:rsidRDefault="006409C6" w:rsidP="009A457B">
            <w:pPr>
              <w:spacing w:after="0" w:line="240" w:lineRule="auto"/>
              <w:jc w:val="center"/>
              <w:rPr>
                <w:rFonts w:ascii="Arial" w:eastAsia="Times New Roman" w:hAnsi="Arial" w:cs="Arial"/>
                <w:color w:val="000000"/>
                <w:sz w:val="20"/>
                <w:szCs w:val="20"/>
              </w:rPr>
            </w:pPr>
            <w:r w:rsidRPr="004E51A8">
              <w:rPr>
                <w:rFonts w:ascii="Arial" w:eastAsia="Times New Roman" w:hAnsi="Arial" w:cs="Arial"/>
                <w:color w:val="000000"/>
                <w:sz w:val="20"/>
                <w:szCs w:val="20"/>
              </w:rPr>
              <w:t>FOURNITURES D'ENTRETIEN</w:t>
            </w:r>
          </w:p>
        </w:tc>
        <w:tc>
          <w:tcPr>
            <w:tcW w:w="1418" w:type="dxa"/>
            <w:tcBorders>
              <w:top w:val="nil"/>
              <w:left w:val="nil"/>
              <w:bottom w:val="single" w:sz="4" w:space="0" w:color="auto"/>
              <w:right w:val="single" w:sz="4" w:space="0" w:color="auto"/>
            </w:tcBorders>
            <w:shd w:val="clear" w:color="000000" w:fill="FFFFFF"/>
            <w:noWrap/>
            <w:vAlign w:val="center"/>
            <w:hideMark/>
          </w:tcPr>
          <w:p w14:paraId="10987358" w14:textId="77777777" w:rsidR="006409C6" w:rsidRPr="004E51A8" w:rsidRDefault="006409C6" w:rsidP="009A457B">
            <w:pPr>
              <w:spacing w:after="0" w:line="240" w:lineRule="auto"/>
              <w:jc w:val="center"/>
              <w:rPr>
                <w:rFonts w:ascii="Arial" w:eastAsia="Times New Roman" w:hAnsi="Arial" w:cs="Arial"/>
                <w:color w:val="000000"/>
                <w:sz w:val="20"/>
                <w:szCs w:val="20"/>
              </w:rPr>
            </w:pPr>
            <w:r w:rsidRPr="004E51A8">
              <w:rPr>
                <w:rFonts w:ascii="Arial" w:eastAsia="Times New Roman" w:hAnsi="Arial" w:cs="Arial"/>
                <w:color w:val="000000"/>
                <w:sz w:val="20"/>
                <w:szCs w:val="20"/>
              </w:rPr>
              <w:t>0,00</w:t>
            </w:r>
          </w:p>
        </w:tc>
        <w:tc>
          <w:tcPr>
            <w:tcW w:w="1417" w:type="dxa"/>
            <w:tcBorders>
              <w:top w:val="nil"/>
              <w:left w:val="nil"/>
              <w:bottom w:val="single" w:sz="4" w:space="0" w:color="auto"/>
              <w:right w:val="single" w:sz="4" w:space="0" w:color="auto"/>
            </w:tcBorders>
            <w:shd w:val="clear" w:color="000000" w:fill="FFFFFF"/>
            <w:noWrap/>
            <w:vAlign w:val="center"/>
            <w:hideMark/>
          </w:tcPr>
          <w:p w14:paraId="438DB622" w14:textId="77777777" w:rsidR="006409C6" w:rsidRPr="004E51A8" w:rsidRDefault="006409C6" w:rsidP="009A457B">
            <w:pPr>
              <w:spacing w:after="0" w:line="240" w:lineRule="auto"/>
              <w:jc w:val="center"/>
              <w:rPr>
                <w:rFonts w:ascii="Arial" w:eastAsia="Times New Roman" w:hAnsi="Arial" w:cs="Arial"/>
                <w:color w:val="000000"/>
                <w:sz w:val="20"/>
                <w:szCs w:val="20"/>
              </w:rPr>
            </w:pPr>
            <w:r w:rsidRPr="004E51A8">
              <w:rPr>
                <w:rFonts w:ascii="Arial" w:eastAsia="Times New Roman" w:hAnsi="Arial" w:cs="Arial"/>
                <w:color w:val="000000"/>
                <w:sz w:val="20"/>
                <w:szCs w:val="20"/>
              </w:rPr>
              <w:t>452,71</w:t>
            </w:r>
          </w:p>
        </w:tc>
        <w:tc>
          <w:tcPr>
            <w:tcW w:w="2126" w:type="dxa"/>
            <w:tcBorders>
              <w:top w:val="nil"/>
              <w:left w:val="nil"/>
              <w:bottom w:val="single" w:sz="4" w:space="0" w:color="auto"/>
              <w:right w:val="single" w:sz="4" w:space="0" w:color="auto"/>
            </w:tcBorders>
            <w:shd w:val="clear" w:color="000000" w:fill="FFFFFF"/>
            <w:noWrap/>
            <w:vAlign w:val="center"/>
            <w:hideMark/>
          </w:tcPr>
          <w:p w14:paraId="2E9114EA" w14:textId="77777777" w:rsidR="006409C6" w:rsidRPr="004E51A8" w:rsidRDefault="006409C6" w:rsidP="009A457B">
            <w:pPr>
              <w:spacing w:after="0" w:line="240" w:lineRule="auto"/>
              <w:jc w:val="center"/>
              <w:rPr>
                <w:rFonts w:ascii="Arial" w:eastAsia="Times New Roman" w:hAnsi="Arial" w:cs="Arial"/>
                <w:color w:val="000000"/>
                <w:sz w:val="20"/>
                <w:szCs w:val="20"/>
              </w:rPr>
            </w:pPr>
          </w:p>
        </w:tc>
      </w:tr>
      <w:tr w:rsidR="006409C6" w:rsidRPr="004E51A8" w14:paraId="2BD4D881" w14:textId="77777777" w:rsidTr="009A457B">
        <w:trPr>
          <w:trHeight w:val="538"/>
        </w:trPr>
        <w:tc>
          <w:tcPr>
            <w:tcW w:w="1072" w:type="dxa"/>
            <w:tcBorders>
              <w:top w:val="nil"/>
              <w:left w:val="single" w:sz="4" w:space="0" w:color="auto"/>
              <w:bottom w:val="single" w:sz="4" w:space="0" w:color="auto"/>
              <w:right w:val="single" w:sz="4" w:space="0" w:color="auto"/>
            </w:tcBorders>
            <w:shd w:val="clear" w:color="000000" w:fill="FFFFFF"/>
            <w:noWrap/>
            <w:vAlign w:val="center"/>
            <w:hideMark/>
          </w:tcPr>
          <w:p w14:paraId="2B917F76" w14:textId="77777777" w:rsidR="006409C6" w:rsidRPr="004E51A8" w:rsidRDefault="006409C6" w:rsidP="009A457B">
            <w:pPr>
              <w:spacing w:after="0" w:line="240" w:lineRule="auto"/>
              <w:jc w:val="center"/>
              <w:rPr>
                <w:rFonts w:ascii="Arial" w:eastAsia="Times New Roman" w:hAnsi="Arial" w:cs="Arial"/>
                <w:color w:val="000000"/>
                <w:sz w:val="20"/>
                <w:szCs w:val="20"/>
              </w:rPr>
            </w:pPr>
            <w:r w:rsidRPr="004E51A8">
              <w:rPr>
                <w:rFonts w:ascii="Arial" w:eastAsia="Times New Roman" w:hAnsi="Arial" w:cs="Arial"/>
                <w:color w:val="000000"/>
                <w:sz w:val="20"/>
                <w:szCs w:val="20"/>
              </w:rPr>
              <w:t>020</w:t>
            </w:r>
          </w:p>
        </w:tc>
        <w:tc>
          <w:tcPr>
            <w:tcW w:w="940" w:type="dxa"/>
            <w:tcBorders>
              <w:top w:val="nil"/>
              <w:left w:val="nil"/>
              <w:bottom w:val="single" w:sz="4" w:space="0" w:color="auto"/>
              <w:right w:val="single" w:sz="4" w:space="0" w:color="auto"/>
            </w:tcBorders>
            <w:shd w:val="clear" w:color="000000" w:fill="FFFFFF"/>
            <w:noWrap/>
            <w:vAlign w:val="center"/>
            <w:hideMark/>
          </w:tcPr>
          <w:p w14:paraId="07D39156" w14:textId="77777777" w:rsidR="006409C6" w:rsidRPr="004E51A8" w:rsidRDefault="006409C6" w:rsidP="009A457B">
            <w:pPr>
              <w:spacing w:after="0" w:line="240" w:lineRule="auto"/>
              <w:jc w:val="center"/>
              <w:rPr>
                <w:rFonts w:ascii="Arial" w:eastAsia="Times New Roman" w:hAnsi="Arial" w:cs="Arial"/>
                <w:color w:val="000000"/>
                <w:sz w:val="20"/>
                <w:szCs w:val="20"/>
              </w:rPr>
            </w:pPr>
            <w:r w:rsidRPr="004E51A8">
              <w:rPr>
                <w:rFonts w:ascii="Arial" w:eastAsia="Times New Roman" w:hAnsi="Arial" w:cs="Arial"/>
                <w:color w:val="000000"/>
                <w:sz w:val="20"/>
                <w:szCs w:val="20"/>
              </w:rPr>
              <w:t>617</w:t>
            </w:r>
          </w:p>
        </w:tc>
        <w:tc>
          <w:tcPr>
            <w:tcW w:w="7032" w:type="dxa"/>
            <w:tcBorders>
              <w:top w:val="nil"/>
              <w:left w:val="nil"/>
              <w:bottom w:val="single" w:sz="4" w:space="0" w:color="auto"/>
              <w:right w:val="single" w:sz="4" w:space="0" w:color="auto"/>
            </w:tcBorders>
            <w:shd w:val="clear" w:color="000000" w:fill="FFFFFF"/>
            <w:vAlign w:val="center"/>
            <w:hideMark/>
          </w:tcPr>
          <w:p w14:paraId="5A7B3DF2" w14:textId="77777777" w:rsidR="006409C6" w:rsidRPr="004E51A8" w:rsidRDefault="006409C6" w:rsidP="009A457B">
            <w:pPr>
              <w:spacing w:after="0" w:line="240" w:lineRule="auto"/>
              <w:jc w:val="center"/>
              <w:rPr>
                <w:rFonts w:ascii="Arial" w:eastAsia="Times New Roman" w:hAnsi="Arial" w:cs="Arial"/>
                <w:color w:val="000000"/>
                <w:sz w:val="20"/>
                <w:szCs w:val="20"/>
              </w:rPr>
            </w:pPr>
            <w:r w:rsidRPr="004E51A8">
              <w:rPr>
                <w:rFonts w:ascii="Arial" w:eastAsia="Times New Roman" w:hAnsi="Arial" w:cs="Arial"/>
                <w:color w:val="000000"/>
                <w:sz w:val="20"/>
                <w:szCs w:val="20"/>
              </w:rPr>
              <w:t xml:space="preserve">ETUDES </w:t>
            </w:r>
            <w:r>
              <w:rPr>
                <w:rFonts w:ascii="Arial" w:eastAsia="Times New Roman" w:hAnsi="Arial" w:cs="Arial"/>
                <w:color w:val="000000"/>
                <w:sz w:val="20"/>
                <w:szCs w:val="20"/>
              </w:rPr>
              <w:t>SUR LES FILIERES DURABLES</w:t>
            </w:r>
          </w:p>
        </w:tc>
        <w:tc>
          <w:tcPr>
            <w:tcW w:w="1418" w:type="dxa"/>
            <w:tcBorders>
              <w:top w:val="nil"/>
              <w:left w:val="nil"/>
              <w:bottom w:val="single" w:sz="4" w:space="0" w:color="auto"/>
              <w:right w:val="single" w:sz="4" w:space="0" w:color="auto"/>
            </w:tcBorders>
            <w:shd w:val="clear" w:color="000000" w:fill="FFFFFF"/>
            <w:noWrap/>
            <w:vAlign w:val="center"/>
            <w:hideMark/>
          </w:tcPr>
          <w:p w14:paraId="45046579" w14:textId="77777777" w:rsidR="006409C6" w:rsidRPr="004E51A8" w:rsidRDefault="006409C6" w:rsidP="009A457B">
            <w:pPr>
              <w:spacing w:after="0" w:line="240" w:lineRule="auto"/>
              <w:jc w:val="center"/>
              <w:rPr>
                <w:rFonts w:ascii="Arial" w:eastAsia="Times New Roman" w:hAnsi="Arial" w:cs="Arial"/>
                <w:color w:val="000000"/>
                <w:sz w:val="20"/>
                <w:szCs w:val="20"/>
              </w:rPr>
            </w:pPr>
            <w:r w:rsidRPr="004E51A8">
              <w:rPr>
                <w:rFonts w:ascii="Arial" w:eastAsia="Times New Roman" w:hAnsi="Arial" w:cs="Arial"/>
                <w:color w:val="000000"/>
                <w:sz w:val="20"/>
                <w:szCs w:val="20"/>
              </w:rPr>
              <w:t>25 000,00</w:t>
            </w:r>
          </w:p>
        </w:tc>
        <w:tc>
          <w:tcPr>
            <w:tcW w:w="1417" w:type="dxa"/>
            <w:tcBorders>
              <w:top w:val="nil"/>
              <w:left w:val="nil"/>
              <w:bottom w:val="single" w:sz="4" w:space="0" w:color="auto"/>
              <w:right w:val="single" w:sz="4" w:space="0" w:color="auto"/>
            </w:tcBorders>
            <w:shd w:val="clear" w:color="000000" w:fill="FFFFFF"/>
            <w:noWrap/>
            <w:vAlign w:val="center"/>
            <w:hideMark/>
          </w:tcPr>
          <w:p w14:paraId="54B5B6C3" w14:textId="77777777" w:rsidR="006409C6" w:rsidRPr="004E51A8" w:rsidRDefault="006409C6" w:rsidP="009A457B">
            <w:pPr>
              <w:spacing w:after="0" w:line="240" w:lineRule="auto"/>
              <w:jc w:val="center"/>
              <w:rPr>
                <w:rFonts w:ascii="Arial" w:eastAsia="Times New Roman" w:hAnsi="Arial" w:cs="Arial"/>
                <w:color w:val="000000"/>
                <w:sz w:val="20"/>
                <w:szCs w:val="20"/>
              </w:rPr>
            </w:pPr>
            <w:r w:rsidRPr="004E51A8">
              <w:rPr>
                <w:rFonts w:ascii="Arial" w:eastAsia="Times New Roman" w:hAnsi="Arial" w:cs="Arial"/>
                <w:color w:val="000000"/>
                <w:sz w:val="20"/>
                <w:szCs w:val="20"/>
              </w:rPr>
              <w:t>24 870,00</w:t>
            </w:r>
          </w:p>
        </w:tc>
        <w:tc>
          <w:tcPr>
            <w:tcW w:w="2126" w:type="dxa"/>
            <w:tcBorders>
              <w:top w:val="nil"/>
              <w:left w:val="nil"/>
              <w:bottom w:val="single" w:sz="4" w:space="0" w:color="auto"/>
              <w:right w:val="single" w:sz="4" w:space="0" w:color="auto"/>
            </w:tcBorders>
            <w:shd w:val="clear" w:color="000000" w:fill="FFFFFF"/>
            <w:noWrap/>
            <w:vAlign w:val="center"/>
            <w:hideMark/>
          </w:tcPr>
          <w:p w14:paraId="5A312E94" w14:textId="77777777" w:rsidR="006409C6" w:rsidRPr="004E51A8" w:rsidRDefault="006409C6" w:rsidP="009A457B">
            <w:pPr>
              <w:spacing w:after="0" w:line="240" w:lineRule="auto"/>
              <w:jc w:val="center"/>
              <w:rPr>
                <w:rFonts w:ascii="Arial" w:eastAsia="Times New Roman" w:hAnsi="Arial" w:cs="Arial"/>
                <w:color w:val="000000"/>
                <w:sz w:val="20"/>
                <w:szCs w:val="20"/>
              </w:rPr>
            </w:pPr>
            <w:r w:rsidRPr="004E51A8">
              <w:rPr>
                <w:rFonts w:ascii="Arial" w:eastAsia="Times New Roman" w:hAnsi="Arial" w:cs="Arial"/>
                <w:color w:val="000000"/>
                <w:sz w:val="20"/>
                <w:szCs w:val="20"/>
              </w:rPr>
              <w:t>-   €</w:t>
            </w:r>
          </w:p>
        </w:tc>
      </w:tr>
      <w:tr w:rsidR="006409C6" w:rsidRPr="004E51A8" w14:paraId="7FAE5FCA" w14:textId="77777777" w:rsidTr="009A457B">
        <w:trPr>
          <w:trHeight w:val="538"/>
        </w:trPr>
        <w:tc>
          <w:tcPr>
            <w:tcW w:w="1072" w:type="dxa"/>
            <w:tcBorders>
              <w:top w:val="nil"/>
              <w:left w:val="single" w:sz="4" w:space="0" w:color="auto"/>
              <w:bottom w:val="single" w:sz="4" w:space="0" w:color="auto"/>
              <w:right w:val="single" w:sz="4" w:space="0" w:color="auto"/>
            </w:tcBorders>
            <w:shd w:val="clear" w:color="000000" w:fill="FFFFFF"/>
            <w:noWrap/>
            <w:vAlign w:val="center"/>
            <w:hideMark/>
          </w:tcPr>
          <w:p w14:paraId="1F82A68E" w14:textId="77777777" w:rsidR="006409C6" w:rsidRPr="004E51A8" w:rsidRDefault="006409C6" w:rsidP="009A457B">
            <w:pPr>
              <w:spacing w:after="0" w:line="240" w:lineRule="auto"/>
              <w:jc w:val="center"/>
              <w:rPr>
                <w:rFonts w:ascii="Arial" w:eastAsia="Times New Roman" w:hAnsi="Arial" w:cs="Arial"/>
                <w:color w:val="000000"/>
                <w:sz w:val="20"/>
                <w:szCs w:val="20"/>
              </w:rPr>
            </w:pPr>
            <w:r w:rsidRPr="004E51A8">
              <w:rPr>
                <w:rFonts w:ascii="Arial" w:eastAsia="Times New Roman" w:hAnsi="Arial" w:cs="Arial"/>
                <w:color w:val="000000"/>
                <w:sz w:val="20"/>
                <w:szCs w:val="20"/>
              </w:rPr>
              <w:t>020</w:t>
            </w:r>
          </w:p>
        </w:tc>
        <w:tc>
          <w:tcPr>
            <w:tcW w:w="940" w:type="dxa"/>
            <w:tcBorders>
              <w:top w:val="nil"/>
              <w:left w:val="nil"/>
              <w:bottom w:val="single" w:sz="4" w:space="0" w:color="auto"/>
              <w:right w:val="single" w:sz="4" w:space="0" w:color="auto"/>
            </w:tcBorders>
            <w:shd w:val="clear" w:color="000000" w:fill="FFFFFF"/>
            <w:noWrap/>
            <w:vAlign w:val="center"/>
            <w:hideMark/>
          </w:tcPr>
          <w:p w14:paraId="723C5952" w14:textId="77777777" w:rsidR="006409C6" w:rsidRPr="004E51A8" w:rsidRDefault="006409C6" w:rsidP="009A457B">
            <w:pPr>
              <w:spacing w:after="0" w:line="240" w:lineRule="auto"/>
              <w:jc w:val="center"/>
              <w:rPr>
                <w:rFonts w:ascii="Arial" w:eastAsia="Times New Roman" w:hAnsi="Arial" w:cs="Arial"/>
                <w:color w:val="000000"/>
                <w:sz w:val="20"/>
                <w:szCs w:val="20"/>
              </w:rPr>
            </w:pPr>
            <w:r w:rsidRPr="004E51A8">
              <w:rPr>
                <w:rFonts w:ascii="Arial" w:eastAsia="Times New Roman" w:hAnsi="Arial" w:cs="Arial"/>
                <w:color w:val="000000"/>
                <w:sz w:val="20"/>
                <w:szCs w:val="20"/>
              </w:rPr>
              <w:t>6188</w:t>
            </w:r>
          </w:p>
        </w:tc>
        <w:tc>
          <w:tcPr>
            <w:tcW w:w="7032" w:type="dxa"/>
            <w:tcBorders>
              <w:top w:val="nil"/>
              <w:left w:val="nil"/>
              <w:bottom w:val="single" w:sz="4" w:space="0" w:color="auto"/>
              <w:right w:val="single" w:sz="4" w:space="0" w:color="auto"/>
            </w:tcBorders>
            <w:shd w:val="clear" w:color="000000" w:fill="FFFFFF"/>
            <w:vAlign w:val="center"/>
            <w:hideMark/>
          </w:tcPr>
          <w:p w14:paraId="103B806D" w14:textId="77777777" w:rsidR="006409C6" w:rsidRPr="004E51A8" w:rsidRDefault="006409C6" w:rsidP="009A457B">
            <w:pPr>
              <w:spacing w:after="0" w:line="240" w:lineRule="auto"/>
              <w:jc w:val="center"/>
              <w:rPr>
                <w:rFonts w:ascii="Arial" w:eastAsia="Times New Roman" w:hAnsi="Arial" w:cs="Arial"/>
                <w:color w:val="000000"/>
                <w:sz w:val="20"/>
                <w:szCs w:val="20"/>
              </w:rPr>
            </w:pPr>
            <w:r w:rsidRPr="004E51A8">
              <w:rPr>
                <w:rFonts w:ascii="Arial" w:eastAsia="Times New Roman" w:hAnsi="Arial" w:cs="Arial"/>
                <w:color w:val="000000"/>
                <w:sz w:val="20"/>
                <w:szCs w:val="20"/>
              </w:rPr>
              <w:t>AUTRES FRAIS DIVERS</w:t>
            </w:r>
          </w:p>
        </w:tc>
        <w:tc>
          <w:tcPr>
            <w:tcW w:w="1418" w:type="dxa"/>
            <w:tcBorders>
              <w:top w:val="nil"/>
              <w:left w:val="nil"/>
              <w:bottom w:val="single" w:sz="4" w:space="0" w:color="auto"/>
              <w:right w:val="single" w:sz="4" w:space="0" w:color="auto"/>
            </w:tcBorders>
            <w:shd w:val="clear" w:color="000000" w:fill="FFFFFF"/>
            <w:noWrap/>
            <w:vAlign w:val="center"/>
            <w:hideMark/>
          </w:tcPr>
          <w:p w14:paraId="55BA7CC9" w14:textId="77777777" w:rsidR="006409C6" w:rsidRPr="004E51A8" w:rsidRDefault="006409C6" w:rsidP="009A457B">
            <w:pPr>
              <w:spacing w:after="0" w:line="240" w:lineRule="auto"/>
              <w:jc w:val="center"/>
              <w:rPr>
                <w:rFonts w:ascii="Arial" w:eastAsia="Times New Roman" w:hAnsi="Arial" w:cs="Arial"/>
                <w:color w:val="000000"/>
                <w:sz w:val="20"/>
                <w:szCs w:val="20"/>
              </w:rPr>
            </w:pPr>
            <w:r w:rsidRPr="004E51A8">
              <w:rPr>
                <w:rFonts w:ascii="Arial" w:eastAsia="Times New Roman" w:hAnsi="Arial" w:cs="Arial"/>
                <w:color w:val="000000"/>
                <w:sz w:val="20"/>
                <w:szCs w:val="20"/>
              </w:rPr>
              <w:t>1 500,00</w:t>
            </w:r>
          </w:p>
        </w:tc>
        <w:tc>
          <w:tcPr>
            <w:tcW w:w="1417" w:type="dxa"/>
            <w:tcBorders>
              <w:top w:val="nil"/>
              <w:left w:val="nil"/>
              <w:bottom w:val="single" w:sz="4" w:space="0" w:color="auto"/>
              <w:right w:val="single" w:sz="4" w:space="0" w:color="auto"/>
            </w:tcBorders>
            <w:shd w:val="clear" w:color="000000" w:fill="FFFFFF"/>
            <w:noWrap/>
            <w:vAlign w:val="center"/>
            <w:hideMark/>
          </w:tcPr>
          <w:p w14:paraId="6E5204C8" w14:textId="77777777" w:rsidR="006409C6" w:rsidRPr="004E51A8" w:rsidRDefault="006409C6" w:rsidP="009A457B">
            <w:pPr>
              <w:spacing w:after="0" w:line="240" w:lineRule="auto"/>
              <w:jc w:val="center"/>
              <w:rPr>
                <w:rFonts w:ascii="Arial" w:eastAsia="Times New Roman" w:hAnsi="Arial" w:cs="Arial"/>
                <w:color w:val="000000"/>
                <w:sz w:val="20"/>
                <w:szCs w:val="20"/>
              </w:rPr>
            </w:pPr>
            <w:r w:rsidRPr="004E51A8">
              <w:rPr>
                <w:rFonts w:ascii="Arial" w:eastAsia="Times New Roman" w:hAnsi="Arial" w:cs="Arial"/>
                <w:color w:val="000000"/>
                <w:sz w:val="20"/>
                <w:szCs w:val="20"/>
              </w:rPr>
              <w:t>0,00</w:t>
            </w:r>
          </w:p>
        </w:tc>
        <w:tc>
          <w:tcPr>
            <w:tcW w:w="2126" w:type="dxa"/>
            <w:tcBorders>
              <w:top w:val="nil"/>
              <w:left w:val="nil"/>
              <w:bottom w:val="single" w:sz="4" w:space="0" w:color="auto"/>
              <w:right w:val="single" w:sz="4" w:space="0" w:color="auto"/>
            </w:tcBorders>
            <w:shd w:val="clear" w:color="000000" w:fill="FFFFFF"/>
            <w:noWrap/>
            <w:vAlign w:val="center"/>
            <w:hideMark/>
          </w:tcPr>
          <w:p w14:paraId="5B8E5DB9" w14:textId="77777777" w:rsidR="006409C6" w:rsidRPr="004E51A8" w:rsidRDefault="006409C6" w:rsidP="009A457B">
            <w:pPr>
              <w:spacing w:after="0" w:line="240" w:lineRule="auto"/>
              <w:jc w:val="center"/>
              <w:rPr>
                <w:rFonts w:ascii="Arial" w:eastAsia="Times New Roman" w:hAnsi="Arial" w:cs="Arial"/>
                <w:color w:val="000000"/>
                <w:sz w:val="20"/>
                <w:szCs w:val="20"/>
              </w:rPr>
            </w:pPr>
            <w:r w:rsidRPr="004E51A8">
              <w:rPr>
                <w:rFonts w:ascii="Arial" w:eastAsia="Times New Roman" w:hAnsi="Arial" w:cs="Arial"/>
                <w:color w:val="000000"/>
                <w:sz w:val="20"/>
                <w:szCs w:val="20"/>
              </w:rPr>
              <w:t>1 500,00</w:t>
            </w:r>
          </w:p>
        </w:tc>
      </w:tr>
      <w:tr w:rsidR="006409C6" w:rsidRPr="004E51A8" w14:paraId="3CB5348C" w14:textId="77777777" w:rsidTr="009A457B">
        <w:trPr>
          <w:trHeight w:val="538"/>
        </w:trPr>
        <w:tc>
          <w:tcPr>
            <w:tcW w:w="1072" w:type="dxa"/>
            <w:tcBorders>
              <w:top w:val="nil"/>
              <w:left w:val="single" w:sz="4" w:space="0" w:color="auto"/>
              <w:bottom w:val="single" w:sz="4" w:space="0" w:color="auto"/>
              <w:right w:val="single" w:sz="4" w:space="0" w:color="auto"/>
            </w:tcBorders>
            <w:shd w:val="clear" w:color="000000" w:fill="FFFFFF"/>
            <w:noWrap/>
            <w:vAlign w:val="center"/>
            <w:hideMark/>
          </w:tcPr>
          <w:p w14:paraId="5F9DC390" w14:textId="77777777" w:rsidR="006409C6" w:rsidRPr="004E51A8" w:rsidRDefault="006409C6" w:rsidP="009A457B">
            <w:pPr>
              <w:spacing w:after="0" w:line="240" w:lineRule="auto"/>
              <w:jc w:val="center"/>
              <w:rPr>
                <w:rFonts w:ascii="Arial" w:eastAsia="Times New Roman" w:hAnsi="Arial" w:cs="Arial"/>
                <w:color w:val="000000"/>
                <w:sz w:val="20"/>
                <w:szCs w:val="20"/>
              </w:rPr>
            </w:pPr>
            <w:r w:rsidRPr="004E51A8">
              <w:rPr>
                <w:rFonts w:ascii="Arial" w:eastAsia="Times New Roman" w:hAnsi="Arial" w:cs="Arial"/>
                <w:color w:val="000000"/>
                <w:sz w:val="20"/>
                <w:szCs w:val="20"/>
              </w:rPr>
              <w:t>020</w:t>
            </w:r>
          </w:p>
        </w:tc>
        <w:tc>
          <w:tcPr>
            <w:tcW w:w="940" w:type="dxa"/>
            <w:tcBorders>
              <w:top w:val="nil"/>
              <w:left w:val="nil"/>
              <w:bottom w:val="single" w:sz="4" w:space="0" w:color="auto"/>
              <w:right w:val="single" w:sz="4" w:space="0" w:color="auto"/>
            </w:tcBorders>
            <w:shd w:val="clear" w:color="000000" w:fill="FFFFFF"/>
            <w:noWrap/>
            <w:vAlign w:val="center"/>
            <w:hideMark/>
          </w:tcPr>
          <w:p w14:paraId="42645CD4" w14:textId="77777777" w:rsidR="006409C6" w:rsidRPr="004E51A8" w:rsidRDefault="006409C6" w:rsidP="009A457B">
            <w:pPr>
              <w:spacing w:after="0" w:line="240" w:lineRule="auto"/>
              <w:jc w:val="center"/>
              <w:rPr>
                <w:rFonts w:ascii="Arial" w:eastAsia="Times New Roman" w:hAnsi="Arial" w:cs="Arial"/>
                <w:color w:val="000000"/>
                <w:sz w:val="20"/>
                <w:szCs w:val="20"/>
              </w:rPr>
            </w:pPr>
            <w:r w:rsidRPr="004E51A8">
              <w:rPr>
                <w:rFonts w:ascii="Arial" w:eastAsia="Times New Roman" w:hAnsi="Arial" w:cs="Arial"/>
                <w:color w:val="000000"/>
                <w:sz w:val="20"/>
                <w:szCs w:val="20"/>
              </w:rPr>
              <w:t>6218</w:t>
            </w:r>
          </w:p>
        </w:tc>
        <w:tc>
          <w:tcPr>
            <w:tcW w:w="7032" w:type="dxa"/>
            <w:tcBorders>
              <w:top w:val="nil"/>
              <w:left w:val="nil"/>
              <w:bottom w:val="single" w:sz="4" w:space="0" w:color="auto"/>
              <w:right w:val="single" w:sz="4" w:space="0" w:color="auto"/>
            </w:tcBorders>
            <w:shd w:val="clear" w:color="000000" w:fill="FFFFFF"/>
            <w:vAlign w:val="center"/>
            <w:hideMark/>
          </w:tcPr>
          <w:p w14:paraId="1F4A11FA" w14:textId="77777777" w:rsidR="006409C6" w:rsidRPr="004E51A8" w:rsidRDefault="006409C6" w:rsidP="009A457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INGENIERIE</w:t>
            </w:r>
            <w:r w:rsidRPr="004E51A8">
              <w:rPr>
                <w:rFonts w:ascii="Arial" w:eastAsia="Times New Roman" w:hAnsi="Arial" w:cs="Arial"/>
                <w:color w:val="000000"/>
                <w:sz w:val="20"/>
                <w:szCs w:val="20"/>
              </w:rPr>
              <w:t xml:space="preserve"> (CCJ)</w:t>
            </w:r>
          </w:p>
        </w:tc>
        <w:tc>
          <w:tcPr>
            <w:tcW w:w="1418" w:type="dxa"/>
            <w:tcBorders>
              <w:top w:val="nil"/>
              <w:left w:val="nil"/>
              <w:bottom w:val="single" w:sz="4" w:space="0" w:color="auto"/>
              <w:right w:val="single" w:sz="4" w:space="0" w:color="auto"/>
            </w:tcBorders>
            <w:shd w:val="clear" w:color="000000" w:fill="FFFFFF"/>
            <w:noWrap/>
            <w:vAlign w:val="center"/>
            <w:hideMark/>
          </w:tcPr>
          <w:p w14:paraId="77A058F1" w14:textId="77777777" w:rsidR="006409C6" w:rsidRPr="004E51A8" w:rsidRDefault="006409C6" w:rsidP="009A457B">
            <w:pPr>
              <w:spacing w:after="0" w:line="240" w:lineRule="auto"/>
              <w:jc w:val="center"/>
              <w:rPr>
                <w:rFonts w:ascii="Arial" w:eastAsia="Times New Roman" w:hAnsi="Arial" w:cs="Arial"/>
                <w:color w:val="000000"/>
                <w:sz w:val="20"/>
                <w:szCs w:val="20"/>
              </w:rPr>
            </w:pPr>
            <w:r w:rsidRPr="004E51A8">
              <w:rPr>
                <w:rFonts w:ascii="Arial" w:eastAsia="Times New Roman" w:hAnsi="Arial" w:cs="Arial"/>
                <w:color w:val="000000"/>
                <w:sz w:val="20"/>
                <w:szCs w:val="20"/>
              </w:rPr>
              <w:t>14 290,90</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14:paraId="5D810D6F" w14:textId="77777777" w:rsidR="006409C6" w:rsidRPr="004E51A8" w:rsidRDefault="006409C6" w:rsidP="009A457B">
            <w:pPr>
              <w:spacing w:after="0" w:line="240" w:lineRule="auto"/>
              <w:jc w:val="center"/>
              <w:rPr>
                <w:rFonts w:ascii="Arial" w:eastAsia="Times New Roman" w:hAnsi="Arial" w:cs="Arial"/>
                <w:color w:val="000000"/>
                <w:sz w:val="20"/>
                <w:szCs w:val="20"/>
              </w:rPr>
            </w:pPr>
            <w:r w:rsidRPr="004E51A8">
              <w:rPr>
                <w:rFonts w:ascii="Arial" w:eastAsia="Times New Roman" w:hAnsi="Arial" w:cs="Arial"/>
                <w:color w:val="000000"/>
                <w:sz w:val="20"/>
                <w:szCs w:val="20"/>
              </w:rPr>
              <w:t>9 871,24</w:t>
            </w:r>
          </w:p>
        </w:tc>
        <w:tc>
          <w:tcPr>
            <w:tcW w:w="2126" w:type="dxa"/>
            <w:tcBorders>
              <w:top w:val="nil"/>
              <w:left w:val="nil"/>
              <w:bottom w:val="single" w:sz="4" w:space="0" w:color="auto"/>
              <w:right w:val="single" w:sz="4" w:space="0" w:color="auto"/>
            </w:tcBorders>
            <w:shd w:val="clear" w:color="000000" w:fill="FFFFFF"/>
            <w:noWrap/>
            <w:vAlign w:val="center"/>
            <w:hideMark/>
          </w:tcPr>
          <w:p w14:paraId="3AED4D24" w14:textId="77777777" w:rsidR="006409C6" w:rsidRPr="004E51A8" w:rsidRDefault="006409C6" w:rsidP="009A457B">
            <w:pPr>
              <w:spacing w:after="0" w:line="240" w:lineRule="auto"/>
              <w:jc w:val="center"/>
              <w:rPr>
                <w:rFonts w:ascii="Arial" w:eastAsia="Times New Roman" w:hAnsi="Arial" w:cs="Arial"/>
                <w:color w:val="000000"/>
                <w:sz w:val="20"/>
                <w:szCs w:val="20"/>
              </w:rPr>
            </w:pPr>
            <w:r w:rsidRPr="004E51A8">
              <w:rPr>
                <w:rFonts w:ascii="Arial" w:eastAsia="Times New Roman" w:hAnsi="Arial" w:cs="Arial"/>
                <w:color w:val="000000"/>
                <w:sz w:val="20"/>
                <w:szCs w:val="20"/>
              </w:rPr>
              <w:t>58 713,36</w:t>
            </w:r>
          </w:p>
        </w:tc>
      </w:tr>
      <w:tr w:rsidR="006409C6" w:rsidRPr="004E51A8" w14:paraId="27CDE325" w14:textId="77777777" w:rsidTr="009A457B">
        <w:trPr>
          <w:trHeight w:val="538"/>
        </w:trPr>
        <w:tc>
          <w:tcPr>
            <w:tcW w:w="1072" w:type="dxa"/>
            <w:tcBorders>
              <w:top w:val="nil"/>
              <w:left w:val="single" w:sz="4" w:space="0" w:color="auto"/>
              <w:bottom w:val="single" w:sz="4" w:space="0" w:color="auto"/>
              <w:right w:val="single" w:sz="4" w:space="0" w:color="auto"/>
            </w:tcBorders>
            <w:shd w:val="clear" w:color="000000" w:fill="FFFFFF"/>
            <w:noWrap/>
            <w:vAlign w:val="center"/>
            <w:hideMark/>
          </w:tcPr>
          <w:p w14:paraId="0EADA9DE" w14:textId="77777777" w:rsidR="006409C6" w:rsidRPr="004E51A8" w:rsidRDefault="006409C6" w:rsidP="009A457B">
            <w:pPr>
              <w:spacing w:after="0" w:line="240" w:lineRule="auto"/>
              <w:jc w:val="center"/>
              <w:rPr>
                <w:rFonts w:ascii="Arial" w:eastAsia="Times New Roman" w:hAnsi="Arial" w:cs="Arial"/>
                <w:color w:val="000000"/>
                <w:sz w:val="20"/>
                <w:szCs w:val="20"/>
              </w:rPr>
            </w:pPr>
            <w:r w:rsidRPr="004E51A8">
              <w:rPr>
                <w:rFonts w:ascii="Arial" w:eastAsia="Times New Roman" w:hAnsi="Arial" w:cs="Arial"/>
                <w:color w:val="000000"/>
                <w:sz w:val="20"/>
                <w:szCs w:val="20"/>
              </w:rPr>
              <w:t>020</w:t>
            </w:r>
          </w:p>
        </w:tc>
        <w:tc>
          <w:tcPr>
            <w:tcW w:w="940" w:type="dxa"/>
            <w:tcBorders>
              <w:top w:val="nil"/>
              <w:left w:val="nil"/>
              <w:bottom w:val="single" w:sz="4" w:space="0" w:color="auto"/>
              <w:right w:val="single" w:sz="4" w:space="0" w:color="auto"/>
            </w:tcBorders>
            <w:shd w:val="clear" w:color="000000" w:fill="FFFFFF"/>
            <w:noWrap/>
            <w:vAlign w:val="center"/>
            <w:hideMark/>
          </w:tcPr>
          <w:p w14:paraId="375A564E" w14:textId="77777777" w:rsidR="006409C6" w:rsidRPr="004E51A8" w:rsidRDefault="006409C6" w:rsidP="009A457B">
            <w:pPr>
              <w:spacing w:after="0" w:line="240" w:lineRule="auto"/>
              <w:jc w:val="center"/>
              <w:rPr>
                <w:rFonts w:ascii="Arial" w:eastAsia="Times New Roman" w:hAnsi="Arial" w:cs="Arial"/>
                <w:color w:val="000000"/>
                <w:sz w:val="20"/>
                <w:szCs w:val="20"/>
              </w:rPr>
            </w:pPr>
            <w:r w:rsidRPr="004E51A8">
              <w:rPr>
                <w:rFonts w:ascii="Arial" w:eastAsia="Times New Roman" w:hAnsi="Arial" w:cs="Arial"/>
                <w:color w:val="000000"/>
                <w:sz w:val="20"/>
                <w:szCs w:val="20"/>
              </w:rPr>
              <w:t>6281</w:t>
            </w:r>
          </w:p>
        </w:tc>
        <w:tc>
          <w:tcPr>
            <w:tcW w:w="7032" w:type="dxa"/>
            <w:tcBorders>
              <w:top w:val="nil"/>
              <w:left w:val="nil"/>
              <w:bottom w:val="single" w:sz="4" w:space="0" w:color="auto"/>
              <w:right w:val="single" w:sz="4" w:space="0" w:color="auto"/>
            </w:tcBorders>
            <w:shd w:val="clear" w:color="000000" w:fill="FFFFFF"/>
            <w:vAlign w:val="center"/>
            <w:hideMark/>
          </w:tcPr>
          <w:p w14:paraId="1FADD211" w14:textId="77777777" w:rsidR="006409C6" w:rsidRPr="004E51A8" w:rsidRDefault="006409C6" w:rsidP="009A457B">
            <w:pPr>
              <w:spacing w:after="0" w:line="240" w:lineRule="auto"/>
              <w:jc w:val="center"/>
              <w:rPr>
                <w:rFonts w:ascii="Arial" w:eastAsia="Times New Roman" w:hAnsi="Arial" w:cs="Arial"/>
                <w:color w:val="000000"/>
                <w:sz w:val="20"/>
                <w:szCs w:val="20"/>
              </w:rPr>
            </w:pPr>
            <w:r w:rsidRPr="004E51A8">
              <w:rPr>
                <w:rFonts w:ascii="Arial" w:eastAsia="Times New Roman" w:hAnsi="Arial" w:cs="Arial"/>
                <w:color w:val="000000"/>
                <w:sz w:val="20"/>
                <w:szCs w:val="20"/>
              </w:rPr>
              <w:t xml:space="preserve">COTISATIONS </w:t>
            </w:r>
          </w:p>
        </w:tc>
        <w:tc>
          <w:tcPr>
            <w:tcW w:w="1418" w:type="dxa"/>
            <w:tcBorders>
              <w:top w:val="nil"/>
              <w:left w:val="nil"/>
              <w:bottom w:val="single" w:sz="4" w:space="0" w:color="auto"/>
              <w:right w:val="single" w:sz="4" w:space="0" w:color="auto"/>
            </w:tcBorders>
            <w:shd w:val="clear" w:color="000000" w:fill="FFFFFF"/>
            <w:noWrap/>
            <w:vAlign w:val="center"/>
            <w:hideMark/>
          </w:tcPr>
          <w:p w14:paraId="6A60A6F2" w14:textId="77777777" w:rsidR="006409C6" w:rsidRPr="004E51A8" w:rsidRDefault="006409C6" w:rsidP="009A457B">
            <w:pPr>
              <w:spacing w:after="0" w:line="240" w:lineRule="auto"/>
              <w:jc w:val="center"/>
              <w:rPr>
                <w:rFonts w:ascii="Arial" w:eastAsia="Times New Roman" w:hAnsi="Arial" w:cs="Arial"/>
                <w:color w:val="000000"/>
                <w:sz w:val="20"/>
                <w:szCs w:val="20"/>
              </w:rPr>
            </w:pPr>
            <w:r w:rsidRPr="004E51A8">
              <w:rPr>
                <w:rFonts w:ascii="Arial" w:eastAsia="Times New Roman" w:hAnsi="Arial" w:cs="Arial"/>
                <w:color w:val="000000"/>
                <w:sz w:val="20"/>
                <w:szCs w:val="20"/>
              </w:rPr>
              <w:t>10 735,00</w:t>
            </w:r>
          </w:p>
        </w:tc>
        <w:tc>
          <w:tcPr>
            <w:tcW w:w="1417" w:type="dxa"/>
            <w:tcBorders>
              <w:top w:val="nil"/>
              <w:left w:val="nil"/>
              <w:bottom w:val="single" w:sz="4" w:space="0" w:color="auto"/>
              <w:right w:val="single" w:sz="4" w:space="0" w:color="auto"/>
            </w:tcBorders>
            <w:shd w:val="clear" w:color="000000" w:fill="FFFFFF"/>
            <w:noWrap/>
            <w:vAlign w:val="center"/>
            <w:hideMark/>
          </w:tcPr>
          <w:p w14:paraId="18F18AC7" w14:textId="77777777" w:rsidR="006409C6" w:rsidRPr="004E51A8" w:rsidRDefault="006409C6" w:rsidP="009A457B">
            <w:pPr>
              <w:spacing w:after="0" w:line="240" w:lineRule="auto"/>
              <w:jc w:val="center"/>
              <w:rPr>
                <w:rFonts w:ascii="Arial" w:eastAsia="Times New Roman" w:hAnsi="Arial" w:cs="Arial"/>
                <w:color w:val="000000"/>
                <w:sz w:val="20"/>
                <w:szCs w:val="20"/>
              </w:rPr>
            </w:pPr>
            <w:r w:rsidRPr="004E51A8">
              <w:rPr>
                <w:rFonts w:ascii="Arial" w:eastAsia="Times New Roman" w:hAnsi="Arial" w:cs="Arial"/>
                <w:color w:val="000000"/>
                <w:sz w:val="20"/>
                <w:szCs w:val="20"/>
              </w:rPr>
              <w:t>10 736,00</w:t>
            </w:r>
          </w:p>
        </w:tc>
        <w:tc>
          <w:tcPr>
            <w:tcW w:w="2126" w:type="dxa"/>
            <w:tcBorders>
              <w:top w:val="nil"/>
              <w:left w:val="nil"/>
              <w:bottom w:val="single" w:sz="4" w:space="0" w:color="auto"/>
              <w:right w:val="single" w:sz="4" w:space="0" w:color="auto"/>
            </w:tcBorders>
            <w:shd w:val="clear" w:color="000000" w:fill="FFFFFF"/>
            <w:noWrap/>
            <w:vAlign w:val="center"/>
            <w:hideMark/>
          </w:tcPr>
          <w:p w14:paraId="0565A740" w14:textId="77777777" w:rsidR="006409C6" w:rsidRPr="004E51A8" w:rsidRDefault="006409C6" w:rsidP="009A457B">
            <w:pPr>
              <w:spacing w:after="0" w:line="240" w:lineRule="auto"/>
              <w:jc w:val="center"/>
              <w:rPr>
                <w:rFonts w:ascii="Arial" w:eastAsia="Times New Roman" w:hAnsi="Arial" w:cs="Arial"/>
                <w:color w:val="000000"/>
                <w:sz w:val="20"/>
                <w:szCs w:val="20"/>
              </w:rPr>
            </w:pPr>
            <w:r w:rsidRPr="004E51A8">
              <w:rPr>
                <w:rFonts w:ascii="Arial" w:eastAsia="Times New Roman" w:hAnsi="Arial" w:cs="Arial"/>
                <w:color w:val="000000"/>
                <w:sz w:val="20"/>
                <w:szCs w:val="20"/>
              </w:rPr>
              <w:t>11 000,00</w:t>
            </w:r>
          </w:p>
        </w:tc>
      </w:tr>
      <w:tr w:rsidR="006409C6" w:rsidRPr="004E51A8" w14:paraId="1C7A36BD" w14:textId="77777777" w:rsidTr="009A457B">
        <w:trPr>
          <w:trHeight w:val="538"/>
        </w:trPr>
        <w:tc>
          <w:tcPr>
            <w:tcW w:w="1072" w:type="dxa"/>
            <w:tcBorders>
              <w:top w:val="nil"/>
              <w:left w:val="single" w:sz="4" w:space="0" w:color="auto"/>
              <w:bottom w:val="single" w:sz="4" w:space="0" w:color="auto"/>
              <w:right w:val="single" w:sz="4" w:space="0" w:color="auto"/>
            </w:tcBorders>
            <w:shd w:val="clear" w:color="000000" w:fill="FFFFFF"/>
            <w:noWrap/>
            <w:vAlign w:val="center"/>
            <w:hideMark/>
          </w:tcPr>
          <w:p w14:paraId="208FD251" w14:textId="77777777" w:rsidR="006409C6" w:rsidRPr="004E51A8" w:rsidRDefault="006409C6" w:rsidP="009A457B">
            <w:pPr>
              <w:spacing w:after="0" w:line="240" w:lineRule="auto"/>
              <w:jc w:val="center"/>
              <w:rPr>
                <w:rFonts w:ascii="Arial" w:eastAsia="Times New Roman" w:hAnsi="Arial" w:cs="Arial"/>
                <w:color w:val="000000"/>
                <w:sz w:val="20"/>
                <w:szCs w:val="20"/>
              </w:rPr>
            </w:pPr>
            <w:r w:rsidRPr="004E51A8">
              <w:rPr>
                <w:rFonts w:ascii="Arial" w:eastAsia="Times New Roman" w:hAnsi="Arial" w:cs="Arial"/>
                <w:color w:val="000000"/>
                <w:sz w:val="20"/>
                <w:szCs w:val="20"/>
              </w:rPr>
              <w:t>020</w:t>
            </w:r>
          </w:p>
        </w:tc>
        <w:tc>
          <w:tcPr>
            <w:tcW w:w="940" w:type="dxa"/>
            <w:tcBorders>
              <w:top w:val="nil"/>
              <w:left w:val="nil"/>
              <w:bottom w:val="single" w:sz="4" w:space="0" w:color="auto"/>
              <w:right w:val="single" w:sz="4" w:space="0" w:color="auto"/>
            </w:tcBorders>
            <w:shd w:val="clear" w:color="000000" w:fill="FFFFFF"/>
            <w:noWrap/>
            <w:vAlign w:val="center"/>
            <w:hideMark/>
          </w:tcPr>
          <w:p w14:paraId="48843907" w14:textId="77777777" w:rsidR="006409C6" w:rsidRPr="004E51A8" w:rsidRDefault="006409C6" w:rsidP="009A457B">
            <w:pPr>
              <w:spacing w:after="0" w:line="240" w:lineRule="auto"/>
              <w:jc w:val="center"/>
              <w:rPr>
                <w:rFonts w:ascii="Arial" w:eastAsia="Times New Roman" w:hAnsi="Arial" w:cs="Arial"/>
                <w:color w:val="000000"/>
                <w:sz w:val="20"/>
                <w:szCs w:val="20"/>
              </w:rPr>
            </w:pPr>
            <w:r w:rsidRPr="004E51A8">
              <w:rPr>
                <w:rFonts w:ascii="Arial" w:eastAsia="Times New Roman" w:hAnsi="Arial" w:cs="Arial"/>
                <w:color w:val="000000"/>
                <w:sz w:val="20"/>
                <w:szCs w:val="20"/>
              </w:rPr>
              <w:t>62878</w:t>
            </w:r>
          </w:p>
        </w:tc>
        <w:tc>
          <w:tcPr>
            <w:tcW w:w="7032" w:type="dxa"/>
            <w:tcBorders>
              <w:top w:val="nil"/>
              <w:left w:val="nil"/>
              <w:bottom w:val="single" w:sz="4" w:space="0" w:color="auto"/>
              <w:right w:val="single" w:sz="4" w:space="0" w:color="auto"/>
            </w:tcBorders>
            <w:shd w:val="clear" w:color="000000" w:fill="FFFFFF"/>
            <w:vAlign w:val="center"/>
            <w:hideMark/>
          </w:tcPr>
          <w:p w14:paraId="138CA5F3" w14:textId="77777777" w:rsidR="006409C6" w:rsidRPr="004E51A8" w:rsidRDefault="006409C6" w:rsidP="009A457B">
            <w:pPr>
              <w:spacing w:after="0" w:line="240" w:lineRule="auto"/>
              <w:jc w:val="center"/>
              <w:rPr>
                <w:rFonts w:ascii="Arial" w:eastAsia="Times New Roman" w:hAnsi="Arial" w:cs="Arial"/>
                <w:color w:val="000000"/>
                <w:sz w:val="20"/>
                <w:szCs w:val="20"/>
              </w:rPr>
            </w:pPr>
            <w:r w:rsidRPr="004E51A8">
              <w:rPr>
                <w:rFonts w:ascii="Arial" w:eastAsia="Times New Roman" w:hAnsi="Arial" w:cs="Arial"/>
                <w:color w:val="000000"/>
                <w:sz w:val="20"/>
                <w:szCs w:val="20"/>
              </w:rPr>
              <w:t>REMBOURSEMENTS DE FRAIS A DES TIERS (CCJ)</w:t>
            </w:r>
          </w:p>
        </w:tc>
        <w:tc>
          <w:tcPr>
            <w:tcW w:w="1418" w:type="dxa"/>
            <w:tcBorders>
              <w:top w:val="nil"/>
              <w:left w:val="nil"/>
              <w:bottom w:val="single" w:sz="4" w:space="0" w:color="auto"/>
              <w:right w:val="single" w:sz="4" w:space="0" w:color="auto"/>
            </w:tcBorders>
            <w:shd w:val="clear" w:color="000000" w:fill="FFFFFF"/>
            <w:noWrap/>
            <w:vAlign w:val="center"/>
            <w:hideMark/>
          </w:tcPr>
          <w:p w14:paraId="15C71E0B" w14:textId="77777777" w:rsidR="006409C6" w:rsidRPr="004E51A8" w:rsidRDefault="006409C6" w:rsidP="009A457B">
            <w:pPr>
              <w:spacing w:after="0" w:line="240" w:lineRule="auto"/>
              <w:jc w:val="center"/>
              <w:rPr>
                <w:rFonts w:ascii="Arial" w:eastAsia="Times New Roman" w:hAnsi="Arial" w:cs="Arial"/>
                <w:color w:val="000000"/>
                <w:sz w:val="20"/>
                <w:szCs w:val="20"/>
              </w:rPr>
            </w:pPr>
            <w:r w:rsidRPr="004E51A8">
              <w:rPr>
                <w:rFonts w:ascii="Arial" w:eastAsia="Times New Roman" w:hAnsi="Arial" w:cs="Arial"/>
                <w:color w:val="000000"/>
                <w:sz w:val="20"/>
                <w:szCs w:val="20"/>
              </w:rPr>
              <w:t>6 000,00</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14:paraId="12D83968" w14:textId="77777777" w:rsidR="006409C6" w:rsidRPr="004E51A8" w:rsidRDefault="006409C6" w:rsidP="009A457B">
            <w:pPr>
              <w:spacing w:after="0" w:line="240" w:lineRule="auto"/>
              <w:jc w:val="center"/>
              <w:rPr>
                <w:rFonts w:ascii="Arial" w:eastAsia="Times New Roman" w:hAnsi="Arial" w:cs="Arial"/>
                <w:color w:val="000000"/>
                <w:sz w:val="20"/>
                <w:szCs w:val="20"/>
              </w:rPr>
            </w:pPr>
            <w:r w:rsidRPr="004E51A8">
              <w:rPr>
                <w:rFonts w:ascii="Arial" w:eastAsia="Times New Roman" w:hAnsi="Arial" w:cs="Arial"/>
                <w:color w:val="000000"/>
                <w:sz w:val="20"/>
                <w:szCs w:val="20"/>
              </w:rPr>
              <w:t>2 140,55</w:t>
            </w:r>
          </w:p>
        </w:tc>
        <w:tc>
          <w:tcPr>
            <w:tcW w:w="2126" w:type="dxa"/>
            <w:tcBorders>
              <w:top w:val="nil"/>
              <w:left w:val="nil"/>
              <w:bottom w:val="single" w:sz="4" w:space="0" w:color="auto"/>
              <w:right w:val="single" w:sz="4" w:space="0" w:color="auto"/>
            </w:tcBorders>
            <w:shd w:val="clear" w:color="000000" w:fill="FFFFFF"/>
            <w:noWrap/>
            <w:vAlign w:val="center"/>
            <w:hideMark/>
          </w:tcPr>
          <w:p w14:paraId="0C1F011C" w14:textId="77777777" w:rsidR="006409C6" w:rsidRPr="004E51A8" w:rsidRDefault="006409C6" w:rsidP="009A457B">
            <w:pPr>
              <w:spacing w:after="0" w:line="240" w:lineRule="auto"/>
              <w:jc w:val="center"/>
              <w:rPr>
                <w:rFonts w:ascii="Arial" w:eastAsia="Times New Roman" w:hAnsi="Arial" w:cs="Arial"/>
                <w:color w:val="000000"/>
                <w:sz w:val="20"/>
                <w:szCs w:val="20"/>
              </w:rPr>
            </w:pPr>
          </w:p>
        </w:tc>
      </w:tr>
      <w:tr w:rsidR="006409C6" w:rsidRPr="004E51A8" w14:paraId="3818C887" w14:textId="77777777" w:rsidTr="009A457B">
        <w:trPr>
          <w:trHeight w:val="538"/>
        </w:trPr>
        <w:tc>
          <w:tcPr>
            <w:tcW w:w="1072" w:type="dxa"/>
            <w:tcBorders>
              <w:top w:val="nil"/>
              <w:left w:val="single" w:sz="4" w:space="0" w:color="auto"/>
              <w:bottom w:val="single" w:sz="4" w:space="0" w:color="auto"/>
              <w:right w:val="single" w:sz="4" w:space="0" w:color="auto"/>
            </w:tcBorders>
            <w:shd w:val="clear" w:color="000000" w:fill="FFFFFF"/>
            <w:noWrap/>
            <w:vAlign w:val="center"/>
            <w:hideMark/>
          </w:tcPr>
          <w:p w14:paraId="1792A08B" w14:textId="77777777" w:rsidR="006409C6" w:rsidRPr="004E51A8" w:rsidRDefault="006409C6" w:rsidP="009A457B">
            <w:pPr>
              <w:spacing w:after="0" w:line="240" w:lineRule="auto"/>
              <w:jc w:val="center"/>
              <w:rPr>
                <w:rFonts w:ascii="Arial" w:eastAsia="Times New Roman" w:hAnsi="Arial" w:cs="Arial"/>
                <w:color w:val="000000"/>
                <w:sz w:val="20"/>
                <w:szCs w:val="20"/>
              </w:rPr>
            </w:pPr>
            <w:r w:rsidRPr="004E51A8">
              <w:rPr>
                <w:rFonts w:ascii="Arial" w:eastAsia="Times New Roman" w:hAnsi="Arial" w:cs="Arial"/>
                <w:color w:val="000000"/>
                <w:sz w:val="20"/>
                <w:szCs w:val="20"/>
              </w:rPr>
              <w:t>020</w:t>
            </w:r>
          </w:p>
        </w:tc>
        <w:tc>
          <w:tcPr>
            <w:tcW w:w="940" w:type="dxa"/>
            <w:tcBorders>
              <w:top w:val="nil"/>
              <w:left w:val="nil"/>
              <w:bottom w:val="single" w:sz="4" w:space="0" w:color="auto"/>
              <w:right w:val="single" w:sz="4" w:space="0" w:color="auto"/>
            </w:tcBorders>
            <w:shd w:val="clear" w:color="000000" w:fill="FFFFFF"/>
            <w:noWrap/>
            <w:vAlign w:val="center"/>
            <w:hideMark/>
          </w:tcPr>
          <w:p w14:paraId="6F25AA97" w14:textId="77777777" w:rsidR="006409C6" w:rsidRPr="004E51A8" w:rsidRDefault="006409C6" w:rsidP="009A457B">
            <w:pPr>
              <w:spacing w:after="0" w:line="240" w:lineRule="auto"/>
              <w:jc w:val="center"/>
              <w:rPr>
                <w:rFonts w:ascii="Arial" w:eastAsia="Times New Roman" w:hAnsi="Arial" w:cs="Arial"/>
                <w:color w:val="000000"/>
                <w:sz w:val="20"/>
                <w:szCs w:val="20"/>
              </w:rPr>
            </w:pPr>
            <w:r w:rsidRPr="004E51A8">
              <w:rPr>
                <w:rFonts w:ascii="Arial" w:eastAsia="Times New Roman" w:hAnsi="Arial" w:cs="Arial"/>
                <w:color w:val="000000"/>
                <w:sz w:val="20"/>
                <w:szCs w:val="20"/>
              </w:rPr>
              <w:t>62878</w:t>
            </w:r>
          </w:p>
        </w:tc>
        <w:tc>
          <w:tcPr>
            <w:tcW w:w="7032" w:type="dxa"/>
            <w:tcBorders>
              <w:top w:val="nil"/>
              <w:left w:val="nil"/>
              <w:bottom w:val="single" w:sz="4" w:space="0" w:color="auto"/>
              <w:right w:val="single" w:sz="4" w:space="0" w:color="auto"/>
            </w:tcBorders>
            <w:shd w:val="clear" w:color="000000" w:fill="FFFFFF"/>
            <w:vAlign w:val="center"/>
            <w:hideMark/>
          </w:tcPr>
          <w:p w14:paraId="130E689B" w14:textId="77777777" w:rsidR="006409C6" w:rsidRPr="004E51A8" w:rsidRDefault="006409C6" w:rsidP="009A457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PROGRAMME ACTIONS DU CLS</w:t>
            </w:r>
            <w:r w:rsidRPr="004E51A8">
              <w:rPr>
                <w:rFonts w:ascii="Arial" w:eastAsia="Times New Roman" w:hAnsi="Arial" w:cs="Arial"/>
                <w:color w:val="000000"/>
                <w:sz w:val="20"/>
                <w:szCs w:val="20"/>
              </w:rPr>
              <w:t xml:space="preserve"> (CAGS)</w:t>
            </w:r>
          </w:p>
        </w:tc>
        <w:tc>
          <w:tcPr>
            <w:tcW w:w="1418" w:type="dxa"/>
            <w:tcBorders>
              <w:top w:val="nil"/>
              <w:left w:val="nil"/>
              <w:bottom w:val="single" w:sz="4" w:space="0" w:color="auto"/>
              <w:right w:val="single" w:sz="4" w:space="0" w:color="auto"/>
            </w:tcBorders>
            <w:shd w:val="clear" w:color="000000" w:fill="FFFFFF"/>
            <w:noWrap/>
            <w:vAlign w:val="center"/>
            <w:hideMark/>
          </w:tcPr>
          <w:p w14:paraId="2ACFBEA1" w14:textId="77777777" w:rsidR="006409C6" w:rsidRPr="004E51A8" w:rsidRDefault="006409C6" w:rsidP="009A457B">
            <w:pPr>
              <w:spacing w:after="0" w:line="240" w:lineRule="auto"/>
              <w:jc w:val="center"/>
              <w:rPr>
                <w:rFonts w:ascii="Arial" w:eastAsia="Times New Roman" w:hAnsi="Arial" w:cs="Arial"/>
                <w:color w:val="000000"/>
                <w:sz w:val="20"/>
                <w:szCs w:val="20"/>
              </w:rPr>
            </w:pPr>
            <w:r w:rsidRPr="004E51A8">
              <w:rPr>
                <w:rFonts w:ascii="Arial" w:eastAsia="Times New Roman" w:hAnsi="Arial" w:cs="Arial"/>
                <w:color w:val="000000"/>
                <w:sz w:val="20"/>
                <w:szCs w:val="20"/>
              </w:rPr>
              <w:t>33 850,00</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14:paraId="7ED0E26D" w14:textId="77777777" w:rsidR="006409C6" w:rsidRPr="004E51A8" w:rsidRDefault="006409C6" w:rsidP="009A457B">
            <w:pPr>
              <w:spacing w:after="0" w:line="240" w:lineRule="auto"/>
              <w:jc w:val="center"/>
              <w:rPr>
                <w:rFonts w:ascii="Arial" w:eastAsia="Times New Roman" w:hAnsi="Arial" w:cs="Arial"/>
                <w:color w:val="000000"/>
                <w:sz w:val="20"/>
                <w:szCs w:val="20"/>
              </w:rPr>
            </w:pPr>
            <w:r w:rsidRPr="004E51A8">
              <w:rPr>
                <w:rFonts w:ascii="Arial" w:eastAsia="Times New Roman" w:hAnsi="Arial" w:cs="Arial"/>
                <w:color w:val="000000"/>
                <w:sz w:val="20"/>
                <w:szCs w:val="20"/>
              </w:rPr>
              <w:t>24 332,00</w:t>
            </w:r>
          </w:p>
        </w:tc>
        <w:tc>
          <w:tcPr>
            <w:tcW w:w="2126" w:type="dxa"/>
            <w:tcBorders>
              <w:top w:val="nil"/>
              <w:left w:val="nil"/>
              <w:bottom w:val="single" w:sz="4" w:space="0" w:color="auto"/>
              <w:right w:val="single" w:sz="4" w:space="0" w:color="auto"/>
            </w:tcBorders>
            <w:shd w:val="clear" w:color="000000" w:fill="FFFFFF"/>
            <w:noWrap/>
            <w:vAlign w:val="center"/>
            <w:hideMark/>
          </w:tcPr>
          <w:p w14:paraId="2E8B7BCA" w14:textId="77777777" w:rsidR="006409C6" w:rsidRPr="004E51A8" w:rsidRDefault="006409C6" w:rsidP="009A457B">
            <w:pPr>
              <w:spacing w:after="0" w:line="240" w:lineRule="auto"/>
              <w:jc w:val="center"/>
              <w:rPr>
                <w:rFonts w:ascii="Arial" w:eastAsia="Times New Roman" w:hAnsi="Arial" w:cs="Arial"/>
                <w:color w:val="000000"/>
                <w:sz w:val="20"/>
                <w:szCs w:val="20"/>
              </w:rPr>
            </w:pPr>
            <w:r w:rsidRPr="004E51A8">
              <w:rPr>
                <w:rFonts w:ascii="Arial" w:eastAsia="Times New Roman" w:hAnsi="Arial" w:cs="Arial"/>
                <w:color w:val="000000"/>
                <w:sz w:val="20"/>
                <w:szCs w:val="20"/>
              </w:rPr>
              <w:t>31 000,00</w:t>
            </w:r>
          </w:p>
        </w:tc>
      </w:tr>
      <w:tr w:rsidR="006409C6" w:rsidRPr="004E51A8" w14:paraId="7EBBC2D0" w14:textId="77777777" w:rsidTr="009A457B">
        <w:trPr>
          <w:trHeight w:val="538"/>
        </w:trPr>
        <w:tc>
          <w:tcPr>
            <w:tcW w:w="1072" w:type="dxa"/>
            <w:tcBorders>
              <w:top w:val="nil"/>
              <w:left w:val="single" w:sz="4" w:space="0" w:color="auto"/>
              <w:bottom w:val="single" w:sz="4" w:space="0" w:color="auto"/>
              <w:right w:val="single" w:sz="4" w:space="0" w:color="auto"/>
            </w:tcBorders>
            <w:shd w:val="clear" w:color="000000" w:fill="FFFFFF"/>
            <w:noWrap/>
            <w:vAlign w:val="center"/>
            <w:hideMark/>
          </w:tcPr>
          <w:p w14:paraId="29D1BC36" w14:textId="77777777" w:rsidR="006409C6" w:rsidRPr="004E51A8" w:rsidRDefault="006409C6" w:rsidP="009A457B">
            <w:pPr>
              <w:spacing w:after="0" w:line="240" w:lineRule="auto"/>
              <w:jc w:val="center"/>
              <w:rPr>
                <w:rFonts w:ascii="Arial" w:eastAsia="Times New Roman" w:hAnsi="Arial" w:cs="Arial"/>
                <w:color w:val="000000"/>
                <w:sz w:val="20"/>
                <w:szCs w:val="20"/>
              </w:rPr>
            </w:pPr>
            <w:r w:rsidRPr="004E51A8">
              <w:rPr>
                <w:rFonts w:ascii="Arial" w:eastAsia="Times New Roman" w:hAnsi="Arial" w:cs="Arial"/>
                <w:color w:val="000000"/>
                <w:sz w:val="20"/>
                <w:szCs w:val="20"/>
              </w:rPr>
              <w:t>020</w:t>
            </w:r>
          </w:p>
        </w:tc>
        <w:tc>
          <w:tcPr>
            <w:tcW w:w="940" w:type="dxa"/>
            <w:tcBorders>
              <w:top w:val="nil"/>
              <w:left w:val="nil"/>
              <w:bottom w:val="single" w:sz="4" w:space="0" w:color="auto"/>
              <w:right w:val="single" w:sz="4" w:space="0" w:color="auto"/>
            </w:tcBorders>
            <w:shd w:val="clear" w:color="000000" w:fill="FFFFFF"/>
            <w:noWrap/>
            <w:vAlign w:val="center"/>
            <w:hideMark/>
          </w:tcPr>
          <w:p w14:paraId="6E2E1CEF" w14:textId="77777777" w:rsidR="006409C6" w:rsidRPr="004E51A8" w:rsidRDefault="006409C6" w:rsidP="009A457B">
            <w:pPr>
              <w:spacing w:after="0" w:line="240" w:lineRule="auto"/>
              <w:jc w:val="center"/>
              <w:rPr>
                <w:rFonts w:ascii="Arial" w:eastAsia="Times New Roman" w:hAnsi="Arial" w:cs="Arial"/>
                <w:color w:val="000000"/>
                <w:sz w:val="20"/>
                <w:szCs w:val="20"/>
              </w:rPr>
            </w:pPr>
            <w:r w:rsidRPr="004E51A8">
              <w:rPr>
                <w:rFonts w:ascii="Arial" w:eastAsia="Times New Roman" w:hAnsi="Arial" w:cs="Arial"/>
                <w:color w:val="000000"/>
                <w:sz w:val="20"/>
                <w:szCs w:val="20"/>
              </w:rPr>
              <w:t>6218</w:t>
            </w:r>
          </w:p>
        </w:tc>
        <w:tc>
          <w:tcPr>
            <w:tcW w:w="7032" w:type="dxa"/>
            <w:tcBorders>
              <w:top w:val="nil"/>
              <w:left w:val="nil"/>
              <w:bottom w:val="single" w:sz="4" w:space="0" w:color="auto"/>
              <w:right w:val="single" w:sz="4" w:space="0" w:color="auto"/>
            </w:tcBorders>
            <w:shd w:val="clear" w:color="000000" w:fill="FFFFFF"/>
            <w:vAlign w:val="center"/>
            <w:hideMark/>
          </w:tcPr>
          <w:p w14:paraId="7A18FB4D" w14:textId="77777777" w:rsidR="006409C6" w:rsidRPr="004E51A8" w:rsidRDefault="006409C6" w:rsidP="009A457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INGENIERIE DU CLS</w:t>
            </w:r>
            <w:r w:rsidRPr="004E51A8">
              <w:rPr>
                <w:rFonts w:ascii="Arial" w:eastAsia="Times New Roman" w:hAnsi="Arial" w:cs="Arial"/>
                <w:color w:val="000000"/>
                <w:sz w:val="20"/>
                <w:szCs w:val="20"/>
              </w:rPr>
              <w:t xml:space="preserve"> (CAGS)</w:t>
            </w:r>
          </w:p>
        </w:tc>
        <w:tc>
          <w:tcPr>
            <w:tcW w:w="1418" w:type="dxa"/>
            <w:tcBorders>
              <w:top w:val="nil"/>
              <w:left w:val="nil"/>
              <w:bottom w:val="single" w:sz="4" w:space="0" w:color="auto"/>
              <w:right w:val="single" w:sz="4" w:space="0" w:color="auto"/>
            </w:tcBorders>
            <w:shd w:val="clear" w:color="000000" w:fill="FFFFFF"/>
            <w:noWrap/>
            <w:vAlign w:val="center"/>
            <w:hideMark/>
          </w:tcPr>
          <w:p w14:paraId="2B6DAA31" w14:textId="77777777" w:rsidR="006409C6" w:rsidRPr="004E51A8" w:rsidRDefault="006409C6" w:rsidP="009A457B">
            <w:pPr>
              <w:spacing w:after="0" w:line="240" w:lineRule="auto"/>
              <w:jc w:val="center"/>
              <w:rPr>
                <w:rFonts w:ascii="Arial" w:eastAsia="Times New Roman" w:hAnsi="Arial" w:cs="Arial"/>
                <w:color w:val="000000"/>
                <w:sz w:val="20"/>
                <w:szCs w:val="20"/>
              </w:rPr>
            </w:pPr>
            <w:r w:rsidRPr="004E51A8">
              <w:rPr>
                <w:rFonts w:ascii="Arial" w:eastAsia="Times New Roman" w:hAnsi="Arial" w:cs="Arial"/>
                <w:color w:val="000000"/>
                <w:sz w:val="20"/>
                <w:szCs w:val="20"/>
              </w:rPr>
              <w:t>78 315,00</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14:paraId="2926DEF6" w14:textId="77777777" w:rsidR="006409C6" w:rsidRPr="004E51A8" w:rsidRDefault="006409C6" w:rsidP="009A457B">
            <w:pPr>
              <w:spacing w:after="0" w:line="240" w:lineRule="auto"/>
              <w:jc w:val="center"/>
              <w:rPr>
                <w:rFonts w:ascii="Arial" w:eastAsia="Times New Roman" w:hAnsi="Arial" w:cs="Arial"/>
                <w:color w:val="000000"/>
                <w:sz w:val="20"/>
                <w:szCs w:val="20"/>
              </w:rPr>
            </w:pPr>
            <w:r w:rsidRPr="004E51A8">
              <w:rPr>
                <w:rFonts w:ascii="Arial" w:eastAsia="Times New Roman" w:hAnsi="Arial" w:cs="Arial"/>
                <w:color w:val="000000"/>
                <w:sz w:val="20"/>
                <w:szCs w:val="20"/>
              </w:rPr>
              <w:t>36 700,00</w:t>
            </w:r>
          </w:p>
        </w:tc>
        <w:tc>
          <w:tcPr>
            <w:tcW w:w="2126" w:type="dxa"/>
            <w:tcBorders>
              <w:top w:val="nil"/>
              <w:left w:val="nil"/>
              <w:bottom w:val="single" w:sz="4" w:space="0" w:color="auto"/>
              <w:right w:val="single" w:sz="4" w:space="0" w:color="auto"/>
            </w:tcBorders>
            <w:shd w:val="clear" w:color="000000" w:fill="FFFFFF"/>
            <w:noWrap/>
            <w:vAlign w:val="center"/>
            <w:hideMark/>
          </w:tcPr>
          <w:p w14:paraId="53444FF1" w14:textId="77777777" w:rsidR="006409C6" w:rsidRPr="004E51A8" w:rsidRDefault="006409C6" w:rsidP="009A457B">
            <w:pPr>
              <w:spacing w:after="0" w:line="240" w:lineRule="auto"/>
              <w:jc w:val="center"/>
              <w:rPr>
                <w:rFonts w:ascii="Arial" w:eastAsia="Times New Roman" w:hAnsi="Arial" w:cs="Arial"/>
                <w:color w:val="000000"/>
                <w:sz w:val="20"/>
                <w:szCs w:val="20"/>
              </w:rPr>
            </w:pPr>
            <w:r w:rsidRPr="004E51A8">
              <w:rPr>
                <w:rFonts w:ascii="Arial" w:eastAsia="Times New Roman" w:hAnsi="Arial" w:cs="Arial"/>
                <w:color w:val="000000"/>
                <w:sz w:val="20"/>
                <w:szCs w:val="20"/>
              </w:rPr>
              <w:t>81 700,00</w:t>
            </w:r>
          </w:p>
        </w:tc>
      </w:tr>
      <w:tr w:rsidR="006409C6" w:rsidRPr="004E51A8" w14:paraId="686B5715" w14:textId="77777777" w:rsidTr="009A457B">
        <w:trPr>
          <w:trHeight w:val="340"/>
        </w:trPr>
        <w:tc>
          <w:tcPr>
            <w:tcW w:w="9044"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042DA5D8" w14:textId="77777777" w:rsidR="006409C6" w:rsidRPr="004E51A8" w:rsidRDefault="006409C6" w:rsidP="009A457B">
            <w:pPr>
              <w:spacing w:after="0" w:line="240" w:lineRule="auto"/>
              <w:ind w:left="708"/>
              <w:jc w:val="center"/>
              <w:rPr>
                <w:rFonts w:ascii="Arial" w:eastAsia="Times New Roman" w:hAnsi="Arial" w:cs="Arial"/>
                <w:b/>
                <w:bCs/>
                <w:color w:val="000000"/>
                <w:sz w:val="20"/>
                <w:szCs w:val="20"/>
              </w:rPr>
            </w:pPr>
            <w:r>
              <w:rPr>
                <w:rFonts w:ascii="Arial" w:eastAsia="Times New Roman" w:hAnsi="Arial" w:cs="Arial"/>
                <w:b/>
                <w:bCs/>
                <w:color w:val="000000"/>
                <w:sz w:val="20"/>
                <w:szCs w:val="20"/>
              </w:rPr>
              <w:t>TOTAL</w:t>
            </w:r>
          </w:p>
        </w:tc>
        <w:tc>
          <w:tcPr>
            <w:tcW w:w="1418" w:type="dxa"/>
            <w:tcBorders>
              <w:top w:val="nil"/>
              <w:left w:val="nil"/>
              <w:bottom w:val="single" w:sz="4" w:space="0" w:color="auto"/>
              <w:right w:val="single" w:sz="4" w:space="0" w:color="auto"/>
            </w:tcBorders>
            <w:shd w:val="clear" w:color="000000" w:fill="FFFFFF"/>
            <w:vAlign w:val="center"/>
          </w:tcPr>
          <w:p w14:paraId="664001BE" w14:textId="77777777" w:rsidR="006409C6" w:rsidRPr="004E51A8" w:rsidRDefault="006409C6" w:rsidP="009A457B">
            <w:pPr>
              <w:spacing w:after="0" w:line="240" w:lineRule="auto"/>
              <w:jc w:val="center"/>
              <w:rPr>
                <w:rFonts w:ascii="Arial" w:eastAsia="Times New Roman" w:hAnsi="Arial" w:cs="Arial"/>
                <w:b/>
                <w:bCs/>
                <w:color w:val="000000"/>
                <w:sz w:val="20"/>
                <w:szCs w:val="20"/>
              </w:rPr>
            </w:pPr>
            <w:r w:rsidRPr="004E51A8">
              <w:rPr>
                <w:rFonts w:ascii="Arial" w:eastAsia="Times New Roman" w:hAnsi="Arial" w:cs="Arial"/>
                <w:b/>
                <w:bCs/>
                <w:color w:val="000000"/>
                <w:sz w:val="20"/>
                <w:szCs w:val="20"/>
              </w:rPr>
              <w:t>219 690,90</w:t>
            </w:r>
          </w:p>
        </w:tc>
        <w:tc>
          <w:tcPr>
            <w:tcW w:w="1417" w:type="dxa"/>
            <w:tcBorders>
              <w:top w:val="nil"/>
              <w:left w:val="nil"/>
              <w:bottom w:val="single" w:sz="4" w:space="0" w:color="auto"/>
              <w:right w:val="single" w:sz="4" w:space="0" w:color="auto"/>
            </w:tcBorders>
            <w:shd w:val="clear" w:color="000000" w:fill="FFFFFF"/>
            <w:noWrap/>
            <w:vAlign w:val="center"/>
            <w:hideMark/>
          </w:tcPr>
          <w:p w14:paraId="408FD1A8" w14:textId="77777777" w:rsidR="006409C6" w:rsidRPr="004E51A8" w:rsidRDefault="006409C6" w:rsidP="009A457B">
            <w:pPr>
              <w:spacing w:after="0" w:line="240" w:lineRule="auto"/>
              <w:jc w:val="center"/>
              <w:rPr>
                <w:rFonts w:ascii="Arial" w:eastAsia="Times New Roman" w:hAnsi="Arial" w:cs="Arial"/>
                <w:color w:val="000000"/>
                <w:sz w:val="20"/>
                <w:szCs w:val="20"/>
              </w:rPr>
            </w:pPr>
            <w:r w:rsidRPr="004E51A8">
              <w:rPr>
                <w:rFonts w:ascii="Arial" w:eastAsia="Times New Roman" w:hAnsi="Arial" w:cs="Arial"/>
                <w:color w:val="000000"/>
                <w:sz w:val="20"/>
                <w:szCs w:val="20"/>
              </w:rPr>
              <w:t>135 296,74</w:t>
            </w:r>
          </w:p>
        </w:tc>
        <w:tc>
          <w:tcPr>
            <w:tcW w:w="2126" w:type="dxa"/>
            <w:tcBorders>
              <w:top w:val="nil"/>
              <w:left w:val="nil"/>
              <w:bottom w:val="single" w:sz="4" w:space="0" w:color="auto"/>
              <w:right w:val="single" w:sz="4" w:space="0" w:color="auto"/>
            </w:tcBorders>
            <w:shd w:val="clear" w:color="000000" w:fill="FFFFFF"/>
            <w:noWrap/>
            <w:vAlign w:val="center"/>
            <w:hideMark/>
          </w:tcPr>
          <w:p w14:paraId="686AE8A1" w14:textId="77777777" w:rsidR="006409C6" w:rsidRPr="004E51A8" w:rsidRDefault="006409C6" w:rsidP="009A457B">
            <w:pPr>
              <w:spacing w:after="0" w:line="240" w:lineRule="auto"/>
              <w:jc w:val="center"/>
              <w:rPr>
                <w:rFonts w:ascii="Arial" w:eastAsia="Times New Roman" w:hAnsi="Arial" w:cs="Arial"/>
                <w:color w:val="000000"/>
                <w:sz w:val="20"/>
                <w:szCs w:val="20"/>
              </w:rPr>
            </w:pPr>
            <w:r w:rsidRPr="004E51A8">
              <w:rPr>
                <w:rFonts w:ascii="Arial" w:eastAsia="Times New Roman" w:hAnsi="Arial" w:cs="Arial"/>
                <w:color w:val="000000"/>
                <w:sz w:val="20"/>
                <w:szCs w:val="20"/>
              </w:rPr>
              <w:t>213 913,36</w:t>
            </w:r>
          </w:p>
        </w:tc>
      </w:tr>
    </w:tbl>
    <w:p w14:paraId="78F89E5C" w14:textId="77777777" w:rsidR="006409C6" w:rsidRPr="00F16150" w:rsidRDefault="006409C6" w:rsidP="006409C6"/>
    <w:p w14:paraId="74E0388A" w14:textId="77777777" w:rsidR="006409C6" w:rsidRDefault="006409C6" w:rsidP="006409C6">
      <w:pPr>
        <w:spacing w:line="240" w:lineRule="auto"/>
        <w:contextualSpacing/>
        <w:jc w:val="both"/>
        <w:rPr>
          <w:rFonts w:ascii="Times New Roman" w:hAnsi="Times New Roman" w:cs="Times New Roman"/>
          <w:b/>
          <w:bCs/>
          <w:sz w:val="24"/>
          <w:szCs w:val="24"/>
          <w:u w:val="single"/>
        </w:rPr>
      </w:pPr>
    </w:p>
    <w:p w14:paraId="58E5EF8E" w14:textId="77777777" w:rsidR="006409C6" w:rsidRDefault="006409C6" w:rsidP="006409C6">
      <w:pPr>
        <w:spacing w:line="240" w:lineRule="auto"/>
        <w:contextualSpacing/>
        <w:jc w:val="both"/>
        <w:rPr>
          <w:rFonts w:ascii="Times New Roman" w:hAnsi="Times New Roman" w:cs="Times New Roman"/>
          <w:b/>
          <w:bCs/>
          <w:sz w:val="24"/>
          <w:szCs w:val="24"/>
          <w:u w:val="single"/>
        </w:rPr>
      </w:pPr>
    </w:p>
    <w:p w14:paraId="08240A4F" w14:textId="77777777" w:rsidR="006409C6" w:rsidRDefault="006409C6" w:rsidP="006409C6">
      <w:pPr>
        <w:spacing w:line="240" w:lineRule="auto"/>
        <w:contextualSpacing/>
        <w:jc w:val="both"/>
        <w:rPr>
          <w:rFonts w:ascii="Times New Roman" w:hAnsi="Times New Roman" w:cs="Times New Roman"/>
          <w:b/>
          <w:bCs/>
          <w:sz w:val="24"/>
          <w:szCs w:val="24"/>
          <w:u w:val="single"/>
        </w:rPr>
      </w:pPr>
    </w:p>
    <w:p w14:paraId="69AC2581" w14:textId="77777777" w:rsidR="006409C6" w:rsidRDefault="006409C6" w:rsidP="006409C6">
      <w:pPr>
        <w:spacing w:line="240" w:lineRule="auto"/>
        <w:contextualSpacing/>
        <w:jc w:val="both"/>
        <w:rPr>
          <w:rFonts w:ascii="Times New Roman" w:hAnsi="Times New Roman" w:cs="Times New Roman"/>
          <w:b/>
          <w:bCs/>
          <w:sz w:val="24"/>
          <w:szCs w:val="24"/>
          <w:u w:val="single"/>
        </w:rPr>
      </w:pPr>
    </w:p>
    <w:p w14:paraId="0C27B788" w14:textId="77777777" w:rsidR="006409C6" w:rsidRPr="00D131F3" w:rsidRDefault="006409C6" w:rsidP="006409C6">
      <w:pPr>
        <w:spacing w:line="240" w:lineRule="auto"/>
        <w:contextualSpacing/>
        <w:jc w:val="both"/>
        <w:rPr>
          <w:rFonts w:ascii="Times New Roman" w:hAnsi="Times New Roman" w:cs="Times New Roman"/>
          <w:b/>
          <w:bCs/>
          <w:sz w:val="24"/>
          <w:szCs w:val="24"/>
          <w:u w:val="single"/>
        </w:rPr>
      </w:pPr>
      <w:r w:rsidRPr="00D131F3">
        <w:rPr>
          <w:rFonts w:ascii="Times New Roman" w:hAnsi="Times New Roman" w:cs="Times New Roman"/>
          <w:b/>
          <w:bCs/>
          <w:sz w:val="24"/>
          <w:szCs w:val="24"/>
          <w:u w:val="single"/>
        </w:rPr>
        <w:t>Précisions</w:t>
      </w:r>
    </w:p>
    <w:p w14:paraId="6AB8A4EF" w14:textId="77777777" w:rsidR="006409C6" w:rsidRDefault="006409C6" w:rsidP="006409C6">
      <w:pPr>
        <w:pStyle w:val="Paragraphedeliste"/>
        <w:numPr>
          <w:ilvl w:val="0"/>
          <w:numId w:val="1"/>
        </w:numPr>
        <w:spacing w:after="160" w:line="240" w:lineRule="auto"/>
        <w:jc w:val="both"/>
        <w:rPr>
          <w:rFonts w:ascii="Times New Roman" w:hAnsi="Times New Roman" w:cs="Times New Roman"/>
          <w:sz w:val="24"/>
          <w:szCs w:val="24"/>
        </w:rPr>
      </w:pPr>
      <w:r>
        <w:rPr>
          <w:rFonts w:ascii="Times New Roman" w:hAnsi="Times New Roman" w:cs="Times New Roman"/>
          <w:sz w:val="24"/>
          <w:szCs w:val="24"/>
        </w:rPr>
        <w:t xml:space="preserve">Les concours divers comprennent la cotisation à </w:t>
      </w:r>
      <w:proofErr w:type="spellStart"/>
      <w:r>
        <w:rPr>
          <w:rFonts w:ascii="Times New Roman" w:hAnsi="Times New Roman" w:cs="Times New Roman"/>
          <w:sz w:val="24"/>
          <w:szCs w:val="24"/>
        </w:rPr>
        <w:t>AgriParis</w:t>
      </w:r>
      <w:proofErr w:type="spellEnd"/>
      <w:r>
        <w:rPr>
          <w:rFonts w:ascii="Times New Roman" w:hAnsi="Times New Roman" w:cs="Times New Roman"/>
          <w:sz w:val="24"/>
          <w:szCs w:val="24"/>
        </w:rPr>
        <w:t xml:space="preserve"> Seine pour 10 000 euros, celle de l’Association Nationale des Pôles territoriaux et des Pays (ANPP) pour 620 euros et enfin celle de l’Agence Régionale du Numérique et d’Intelligence Artificielle (ARNIA).</w:t>
      </w:r>
    </w:p>
    <w:p w14:paraId="489C5E6F" w14:textId="77777777" w:rsidR="006409C6" w:rsidRDefault="006409C6" w:rsidP="006409C6">
      <w:pPr>
        <w:pStyle w:val="Paragraphedeliste"/>
        <w:spacing w:line="240" w:lineRule="auto"/>
        <w:jc w:val="both"/>
        <w:rPr>
          <w:rFonts w:ascii="Times New Roman" w:hAnsi="Times New Roman" w:cs="Times New Roman"/>
          <w:sz w:val="24"/>
          <w:szCs w:val="24"/>
        </w:rPr>
      </w:pPr>
    </w:p>
    <w:p w14:paraId="31DF9A99" w14:textId="77777777" w:rsidR="006409C6" w:rsidRDefault="006409C6" w:rsidP="006409C6">
      <w:pPr>
        <w:pStyle w:val="Paragraphedeliste"/>
        <w:numPr>
          <w:ilvl w:val="0"/>
          <w:numId w:val="1"/>
        </w:numPr>
        <w:spacing w:after="160" w:line="240" w:lineRule="auto"/>
        <w:jc w:val="both"/>
        <w:rPr>
          <w:rFonts w:ascii="Times New Roman" w:hAnsi="Times New Roman" w:cs="Times New Roman"/>
          <w:sz w:val="24"/>
          <w:szCs w:val="24"/>
        </w:rPr>
      </w:pPr>
      <w:r>
        <w:rPr>
          <w:rFonts w:ascii="Times New Roman" w:hAnsi="Times New Roman" w:cs="Times New Roman"/>
          <w:sz w:val="24"/>
          <w:szCs w:val="24"/>
        </w:rPr>
        <w:t>Les coûts en ressources humaines sont retranchés des subventions d’aides à l’ingénierie qui comprennent une aide de 60 000 euros de l’Agence Régionale de Santé pour l’équipe du Contrat Local de Santé et 63 000 euros du Conseil Régional pour les postes de Chef de projet du PETR, Cheffe de projet du Contrat Local de Santé et celui de chargé de mission attractivité et mobilité.</w:t>
      </w:r>
    </w:p>
    <w:p w14:paraId="6A3AA3FD" w14:textId="77777777" w:rsidR="006409C6" w:rsidRPr="00500571" w:rsidRDefault="006409C6" w:rsidP="006409C6">
      <w:pPr>
        <w:pStyle w:val="Paragraphedeliste"/>
        <w:rPr>
          <w:rFonts w:ascii="Times New Roman" w:hAnsi="Times New Roman" w:cs="Times New Roman"/>
          <w:sz w:val="24"/>
          <w:szCs w:val="24"/>
        </w:rPr>
      </w:pPr>
    </w:p>
    <w:p w14:paraId="66B21AE4" w14:textId="77777777" w:rsidR="006409C6" w:rsidRDefault="006409C6" w:rsidP="006409C6">
      <w:pPr>
        <w:pStyle w:val="Paragraphedeliste"/>
        <w:numPr>
          <w:ilvl w:val="0"/>
          <w:numId w:val="1"/>
        </w:numPr>
        <w:spacing w:after="160" w:line="240" w:lineRule="auto"/>
        <w:jc w:val="both"/>
        <w:rPr>
          <w:rFonts w:ascii="Times New Roman" w:hAnsi="Times New Roman" w:cs="Times New Roman"/>
          <w:sz w:val="24"/>
          <w:szCs w:val="24"/>
        </w:rPr>
      </w:pPr>
      <w:r>
        <w:rPr>
          <w:rFonts w:ascii="Times New Roman" w:hAnsi="Times New Roman" w:cs="Times New Roman"/>
          <w:sz w:val="24"/>
          <w:szCs w:val="24"/>
        </w:rPr>
        <w:t>Le budget pour les actions du CLS est également retranché des différentes subventions de l’ARS, la CPAM et la Région.</w:t>
      </w:r>
    </w:p>
    <w:p w14:paraId="59BE91F1" w14:textId="77777777" w:rsidR="006409C6" w:rsidRPr="00F31120" w:rsidRDefault="006409C6" w:rsidP="006409C6">
      <w:pPr>
        <w:pStyle w:val="Paragraphedeliste"/>
        <w:rPr>
          <w:rFonts w:ascii="Times New Roman" w:hAnsi="Times New Roman" w:cs="Times New Roman"/>
          <w:sz w:val="24"/>
          <w:szCs w:val="24"/>
        </w:rPr>
      </w:pPr>
    </w:p>
    <w:p w14:paraId="7EF1A0B7" w14:textId="77777777" w:rsidR="006409C6" w:rsidRDefault="006409C6" w:rsidP="006409C6">
      <w:pPr>
        <w:pStyle w:val="Paragraphedeliste"/>
        <w:numPr>
          <w:ilvl w:val="0"/>
          <w:numId w:val="1"/>
        </w:numPr>
        <w:spacing w:after="160" w:line="240" w:lineRule="auto"/>
        <w:jc w:val="both"/>
        <w:rPr>
          <w:rFonts w:ascii="Times New Roman" w:hAnsi="Times New Roman" w:cs="Times New Roman"/>
          <w:sz w:val="24"/>
          <w:szCs w:val="24"/>
        </w:rPr>
      </w:pPr>
      <w:r>
        <w:rPr>
          <w:rFonts w:ascii="Times New Roman" w:hAnsi="Times New Roman" w:cs="Times New Roman"/>
          <w:sz w:val="24"/>
          <w:szCs w:val="24"/>
        </w:rPr>
        <w:t xml:space="preserve">Le faible montant du réalisé 2024 concernant l’ingénierie CCJ s’explique par un retard dans la subvention régionale de 2023 qui a été reçue en 2024 en plus de la subvention relative à cette même année 2024. </w:t>
      </w:r>
    </w:p>
    <w:p w14:paraId="16AF8857" w14:textId="77777777" w:rsidR="006409C6" w:rsidRDefault="006409C6" w:rsidP="006409C6">
      <w:pPr>
        <w:rPr>
          <w:rFonts w:ascii="Times New Roman" w:hAnsi="Times New Roman" w:cs="Times New Roman"/>
          <w:sz w:val="24"/>
          <w:szCs w:val="24"/>
        </w:rPr>
      </w:pPr>
      <w:r>
        <w:rPr>
          <w:rFonts w:ascii="Times New Roman" w:hAnsi="Times New Roman" w:cs="Times New Roman"/>
          <w:sz w:val="24"/>
          <w:szCs w:val="24"/>
        </w:rPr>
        <w:br w:type="page"/>
      </w:r>
    </w:p>
    <w:p w14:paraId="670E2ED2" w14:textId="77777777" w:rsidR="006409C6" w:rsidRPr="00286657" w:rsidRDefault="006409C6" w:rsidP="006409C6">
      <w:pPr>
        <w:pStyle w:val="Titre1"/>
        <w:numPr>
          <w:ilvl w:val="0"/>
          <w:numId w:val="2"/>
        </w:numPr>
        <w:ind w:left="720"/>
        <w:rPr>
          <w:rFonts w:ascii="Times" w:eastAsiaTheme="minorHAnsi" w:hAnsi="Times" w:cs="Times"/>
          <w:b/>
          <w:bCs/>
          <w:u w:val="single"/>
        </w:rPr>
      </w:pPr>
      <w:r>
        <w:rPr>
          <w:rFonts w:ascii="Times" w:eastAsiaTheme="minorHAnsi" w:hAnsi="Times" w:cs="Times"/>
          <w:b/>
          <w:bCs/>
          <w:u w:val="single"/>
        </w:rPr>
        <w:lastRenderedPageBreak/>
        <w:t>Projection des r</w:t>
      </w:r>
      <w:r w:rsidRPr="00286657">
        <w:rPr>
          <w:rFonts w:ascii="Times" w:eastAsiaTheme="minorHAnsi" w:hAnsi="Times" w:cs="Times"/>
          <w:b/>
          <w:bCs/>
          <w:u w:val="single"/>
        </w:rPr>
        <w:t>ecettes de fonctionnement :</w:t>
      </w:r>
    </w:p>
    <w:tbl>
      <w:tblPr>
        <w:tblpPr w:leftFromText="141" w:rightFromText="141" w:vertAnchor="text" w:horzAnchor="margin" w:tblpXSpec="center" w:tblpY="364"/>
        <w:tblW w:w="14886" w:type="dxa"/>
        <w:tblCellMar>
          <w:left w:w="70" w:type="dxa"/>
          <w:right w:w="70" w:type="dxa"/>
        </w:tblCellMar>
        <w:tblLook w:val="04A0" w:firstRow="1" w:lastRow="0" w:firstColumn="1" w:lastColumn="0" w:noHBand="0" w:noVBand="1"/>
      </w:tblPr>
      <w:tblGrid>
        <w:gridCol w:w="1056"/>
        <w:gridCol w:w="1207"/>
        <w:gridCol w:w="3355"/>
        <w:gridCol w:w="834"/>
        <w:gridCol w:w="3299"/>
        <w:gridCol w:w="1572"/>
        <w:gridCol w:w="1730"/>
        <w:gridCol w:w="1833"/>
      </w:tblGrid>
      <w:tr w:rsidR="006409C6" w:rsidRPr="00816A2F" w14:paraId="31008335" w14:textId="77777777" w:rsidTr="009A457B">
        <w:trPr>
          <w:trHeight w:val="1351"/>
        </w:trPr>
        <w:tc>
          <w:tcPr>
            <w:tcW w:w="105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27177E" w14:textId="77777777" w:rsidR="006409C6" w:rsidRPr="00816A2F" w:rsidRDefault="006409C6" w:rsidP="009A457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Code fonction</w:t>
            </w:r>
          </w:p>
        </w:tc>
        <w:tc>
          <w:tcPr>
            <w:tcW w:w="1207" w:type="dxa"/>
            <w:tcBorders>
              <w:top w:val="single" w:sz="4" w:space="0" w:color="auto"/>
              <w:left w:val="nil"/>
              <w:bottom w:val="single" w:sz="4" w:space="0" w:color="auto"/>
              <w:right w:val="single" w:sz="4" w:space="0" w:color="auto"/>
            </w:tcBorders>
            <w:shd w:val="clear" w:color="000000" w:fill="D9D9D9"/>
            <w:vAlign w:val="center"/>
            <w:hideMark/>
          </w:tcPr>
          <w:p w14:paraId="44BCF126" w14:textId="77777777" w:rsidR="006409C6" w:rsidRPr="00816A2F" w:rsidRDefault="006409C6" w:rsidP="009A457B">
            <w:pPr>
              <w:spacing w:after="0" w:line="240" w:lineRule="auto"/>
              <w:jc w:val="center"/>
              <w:rPr>
                <w:rFonts w:ascii="Arial" w:eastAsia="Times New Roman" w:hAnsi="Arial" w:cs="Arial"/>
                <w:color w:val="000000"/>
                <w:sz w:val="20"/>
                <w:szCs w:val="20"/>
              </w:rPr>
            </w:pPr>
            <w:r w:rsidRPr="00816A2F">
              <w:rPr>
                <w:rFonts w:ascii="Arial" w:eastAsia="Times New Roman" w:hAnsi="Arial" w:cs="Arial"/>
                <w:color w:val="000000"/>
                <w:sz w:val="20"/>
                <w:szCs w:val="20"/>
              </w:rPr>
              <w:t>Nature (Code)</w:t>
            </w:r>
          </w:p>
        </w:tc>
        <w:tc>
          <w:tcPr>
            <w:tcW w:w="7488" w:type="dxa"/>
            <w:gridSpan w:val="3"/>
            <w:tcBorders>
              <w:top w:val="single" w:sz="4" w:space="0" w:color="auto"/>
              <w:left w:val="nil"/>
              <w:bottom w:val="single" w:sz="4" w:space="0" w:color="auto"/>
              <w:right w:val="single" w:sz="4" w:space="0" w:color="auto"/>
            </w:tcBorders>
            <w:shd w:val="clear" w:color="000000" w:fill="D9D9D9"/>
            <w:vAlign w:val="center"/>
            <w:hideMark/>
          </w:tcPr>
          <w:p w14:paraId="1F7C175F" w14:textId="77777777" w:rsidR="006409C6" w:rsidRPr="00816A2F" w:rsidRDefault="006409C6" w:rsidP="009A457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Compte</w:t>
            </w:r>
          </w:p>
        </w:tc>
        <w:tc>
          <w:tcPr>
            <w:tcW w:w="1572" w:type="dxa"/>
            <w:tcBorders>
              <w:top w:val="single" w:sz="4" w:space="0" w:color="auto"/>
              <w:left w:val="nil"/>
              <w:bottom w:val="single" w:sz="4" w:space="0" w:color="auto"/>
              <w:right w:val="single" w:sz="4" w:space="0" w:color="auto"/>
            </w:tcBorders>
            <w:shd w:val="clear" w:color="000000" w:fill="D9D9D9"/>
            <w:vAlign w:val="center"/>
            <w:hideMark/>
          </w:tcPr>
          <w:p w14:paraId="769965CF" w14:textId="77777777" w:rsidR="006409C6" w:rsidRPr="00816A2F" w:rsidRDefault="006409C6" w:rsidP="009A457B">
            <w:pPr>
              <w:spacing w:after="0" w:line="240" w:lineRule="auto"/>
              <w:jc w:val="center"/>
              <w:rPr>
                <w:rFonts w:ascii="Arial" w:eastAsia="Times New Roman" w:hAnsi="Arial" w:cs="Arial"/>
                <w:color w:val="000000"/>
                <w:sz w:val="20"/>
                <w:szCs w:val="20"/>
              </w:rPr>
            </w:pPr>
            <w:r w:rsidRPr="00816A2F">
              <w:rPr>
                <w:rFonts w:ascii="Arial" w:eastAsia="Times New Roman" w:hAnsi="Arial" w:cs="Arial"/>
                <w:color w:val="000000"/>
                <w:sz w:val="20"/>
                <w:szCs w:val="20"/>
              </w:rPr>
              <w:t>BP 2024</w:t>
            </w:r>
          </w:p>
        </w:tc>
        <w:tc>
          <w:tcPr>
            <w:tcW w:w="1730" w:type="dxa"/>
            <w:tcBorders>
              <w:top w:val="single" w:sz="4" w:space="0" w:color="auto"/>
              <w:left w:val="nil"/>
              <w:bottom w:val="single" w:sz="4" w:space="0" w:color="auto"/>
              <w:right w:val="single" w:sz="4" w:space="0" w:color="auto"/>
            </w:tcBorders>
            <w:shd w:val="clear" w:color="000000" w:fill="D9D9D9"/>
            <w:vAlign w:val="center"/>
            <w:hideMark/>
          </w:tcPr>
          <w:p w14:paraId="75E3AF48" w14:textId="77777777" w:rsidR="006409C6" w:rsidRPr="00816A2F" w:rsidRDefault="006409C6" w:rsidP="009A457B">
            <w:pPr>
              <w:spacing w:after="0" w:line="240" w:lineRule="auto"/>
              <w:jc w:val="center"/>
              <w:rPr>
                <w:rFonts w:ascii="Arial" w:eastAsia="Times New Roman" w:hAnsi="Arial" w:cs="Arial"/>
                <w:color w:val="000000"/>
                <w:sz w:val="20"/>
                <w:szCs w:val="20"/>
              </w:rPr>
            </w:pPr>
            <w:r w:rsidRPr="00816A2F">
              <w:rPr>
                <w:rFonts w:ascii="Arial" w:eastAsia="Times New Roman" w:hAnsi="Arial" w:cs="Arial"/>
                <w:color w:val="000000"/>
                <w:sz w:val="20"/>
                <w:szCs w:val="20"/>
              </w:rPr>
              <w:t xml:space="preserve">Total réalisé </w:t>
            </w:r>
            <w:r>
              <w:rPr>
                <w:rFonts w:ascii="Arial" w:eastAsia="Times New Roman" w:hAnsi="Arial" w:cs="Arial"/>
                <w:color w:val="000000"/>
                <w:sz w:val="20"/>
                <w:szCs w:val="20"/>
              </w:rPr>
              <w:t>2024</w:t>
            </w:r>
          </w:p>
        </w:tc>
        <w:tc>
          <w:tcPr>
            <w:tcW w:w="1833" w:type="dxa"/>
            <w:tcBorders>
              <w:top w:val="single" w:sz="4" w:space="0" w:color="auto"/>
              <w:left w:val="nil"/>
              <w:bottom w:val="single" w:sz="4" w:space="0" w:color="auto"/>
              <w:right w:val="single" w:sz="4" w:space="0" w:color="auto"/>
            </w:tcBorders>
            <w:shd w:val="clear" w:color="000000" w:fill="D9D9D9"/>
            <w:vAlign w:val="center"/>
            <w:hideMark/>
          </w:tcPr>
          <w:p w14:paraId="3AC84B60" w14:textId="77777777" w:rsidR="006409C6" w:rsidRPr="00816A2F" w:rsidRDefault="006409C6" w:rsidP="009A457B">
            <w:pPr>
              <w:spacing w:after="0" w:line="240" w:lineRule="auto"/>
              <w:jc w:val="center"/>
              <w:rPr>
                <w:rFonts w:ascii="Arial" w:eastAsia="Times New Roman" w:hAnsi="Arial" w:cs="Arial"/>
                <w:color w:val="000000"/>
                <w:sz w:val="20"/>
                <w:szCs w:val="20"/>
              </w:rPr>
            </w:pPr>
            <w:r w:rsidRPr="00816A2F">
              <w:rPr>
                <w:rFonts w:ascii="Arial" w:eastAsia="Times New Roman" w:hAnsi="Arial" w:cs="Arial"/>
                <w:color w:val="000000"/>
                <w:sz w:val="20"/>
                <w:szCs w:val="20"/>
              </w:rPr>
              <w:t>Proposition budget 2025</w:t>
            </w:r>
          </w:p>
        </w:tc>
      </w:tr>
      <w:tr w:rsidR="006409C6" w:rsidRPr="00816A2F" w14:paraId="0A1FFC50" w14:textId="77777777" w:rsidTr="009A457B">
        <w:trPr>
          <w:trHeight w:val="610"/>
        </w:trPr>
        <w:tc>
          <w:tcPr>
            <w:tcW w:w="1056" w:type="dxa"/>
            <w:tcBorders>
              <w:top w:val="nil"/>
              <w:left w:val="single" w:sz="4" w:space="0" w:color="auto"/>
              <w:bottom w:val="single" w:sz="4" w:space="0" w:color="auto"/>
              <w:right w:val="single" w:sz="4" w:space="0" w:color="auto"/>
            </w:tcBorders>
            <w:shd w:val="clear" w:color="000000" w:fill="FFFFFF"/>
            <w:noWrap/>
            <w:hideMark/>
          </w:tcPr>
          <w:p w14:paraId="7BB66037" w14:textId="77777777" w:rsidR="006409C6" w:rsidRPr="00816A2F" w:rsidRDefault="006409C6" w:rsidP="009A457B">
            <w:pPr>
              <w:spacing w:after="0" w:line="240" w:lineRule="auto"/>
              <w:jc w:val="right"/>
              <w:rPr>
                <w:rFonts w:ascii="Arial" w:eastAsia="Times New Roman" w:hAnsi="Arial" w:cs="Arial"/>
                <w:color w:val="000000"/>
                <w:sz w:val="20"/>
                <w:szCs w:val="20"/>
              </w:rPr>
            </w:pPr>
            <w:r w:rsidRPr="00816A2F">
              <w:rPr>
                <w:rFonts w:ascii="Arial" w:eastAsia="Times New Roman" w:hAnsi="Arial" w:cs="Arial"/>
                <w:color w:val="000000"/>
                <w:sz w:val="20"/>
                <w:szCs w:val="20"/>
              </w:rPr>
              <w:t>01</w:t>
            </w:r>
          </w:p>
        </w:tc>
        <w:tc>
          <w:tcPr>
            <w:tcW w:w="1207" w:type="dxa"/>
            <w:tcBorders>
              <w:top w:val="nil"/>
              <w:left w:val="nil"/>
              <w:bottom w:val="single" w:sz="4" w:space="0" w:color="auto"/>
              <w:right w:val="single" w:sz="4" w:space="0" w:color="auto"/>
            </w:tcBorders>
            <w:shd w:val="clear" w:color="000000" w:fill="FFFFFF"/>
            <w:noWrap/>
            <w:hideMark/>
          </w:tcPr>
          <w:p w14:paraId="1E9627A0" w14:textId="77777777" w:rsidR="006409C6" w:rsidRPr="00816A2F" w:rsidRDefault="006409C6" w:rsidP="009A457B">
            <w:pPr>
              <w:spacing w:after="0" w:line="240" w:lineRule="auto"/>
              <w:jc w:val="right"/>
              <w:rPr>
                <w:rFonts w:ascii="Arial" w:eastAsia="Times New Roman" w:hAnsi="Arial" w:cs="Arial"/>
                <w:color w:val="000000"/>
                <w:sz w:val="20"/>
                <w:szCs w:val="20"/>
              </w:rPr>
            </w:pPr>
            <w:r w:rsidRPr="00816A2F">
              <w:rPr>
                <w:rFonts w:ascii="Arial" w:eastAsia="Times New Roman" w:hAnsi="Arial" w:cs="Arial"/>
                <w:color w:val="000000"/>
                <w:sz w:val="20"/>
                <w:szCs w:val="20"/>
              </w:rPr>
              <w:t>002</w:t>
            </w:r>
          </w:p>
        </w:tc>
        <w:tc>
          <w:tcPr>
            <w:tcW w:w="7488" w:type="dxa"/>
            <w:gridSpan w:val="3"/>
            <w:tcBorders>
              <w:top w:val="nil"/>
              <w:left w:val="nil"/>
              <w:bottom w:val="single" w:sz="4" w:space="0" w:color="auto"/>
              <w:right w:val="single" w:sz="4" w:space="0" w:color="auto"/>
            </w:tcBorders>
            <w:shd w:val="clear" w:color="000000" w:fill="FFFFFF"/>
            <w:noWrap/>
            <w:vAlign w:val="center"/>
            <w:hideMark/>
          </w:tcPr>
          <w:p w14:paraId="017AF288" w14:textId="77777777" w:rsidR="006409C6" w:rsidRPr="00816A2F" w:rsidRDefault="006409C6" w:rsidP="009A457B">
            <w:pPr>
              <w:spacing w:after="0" w:line="240" w:lineRule="auto"/>
              <w:jc w:val="center"/>
              <w:rPr>
                <w:rFonts w:ascii="Arial" w:eastAsia="Times New Roman" w:hAnsi="Arial" w:cs="Arial"/>
                <w:color w:val="000000"/>
                <w:sz w:val="20"/>
                <w:szCs w:val="20"/>
              </w:rPr>
            </w:pPr>
            <w:r w:rsidRPr="00816A2F">
              <w:rPr>
                <w:rFonts w:ascii="Arial" w:eastAsia="Times New Roman" w:hAnsi="Arial" w:cs="Arial"/>
                <w:color w:val="000000"/>
                <w:sz w:val="20"/>
                <w:szCs w:val="20"/>
              </w:rPr>
              <w:t>RESULTAT DE FONCTIONNEMENT REPORTE</w:t>
            </w:r>
          </w:p>
        </w:tc>
        <w:tc>
          <w:tcPr>
            <w:tcW w:w="1572" w:type="dxa"/>
            <w:tcBorders>
              <w:top w:val="nil"/>
              <w:left w:val="nil"/>
              <w:bottom w:val="single" w:sz="4" w:space="0" w:color="auto"/>
              <w:right w:val="single" w:sz="4" w:space="0" w:color="auto"/>
            </w:tcBorders>
            <w:shd w:val="clear" w:color="000000" w:fill="FFFFFF"/>
            <w:noWrap/>
            <w:vAlign w:val="center"/>
            <w:hideMark/>
          </w:tcPr>
          <w:p w14:paraId="64B6F0DE" w14:textId="77777777" w:rsidR="006409C6" w:rsidRPr="00816A2F" w:rsidRDefault="006409C6" w:rsidP="009A457B">
            <w:pPr>
              <w:spacing w:after="0" w:line="240" w:lineRule="auto"/>
              <w:jc w:val="center"/>
              <w:rPr>
                <w:rFonts w:ascii="Arial" w:eastAsia="Times New Roman" w:hAnsi="Arial" w:cs="Arial"/>
                <w:color w:val="000000"/>
                <w:sz w:val="20"/>
                <w:szCs w:val="20"/>
              </w:rPr>
            </w:pPr>
            <w:r w:rsidRPr="00816A2F">
              <w:rPr>
                <w:rFonts w:ascii="Arial" w:eastAsia="Times New Roman" w:hAnsi="Arial" w:cs="Arial"/>
                <w:color w:val="000000"/>
                <w:sz w:val="20"/>
                <w:szCs w:val="20"/>
              </w:rPr>
              <w:t>82 372,07</w:t>
            </w:r>
          </w:p>
        </w:tc>
        <w:tc>
          <w:tcPr>
            <w:tcW w:w="1730" w:type="dxa"/>
            <w:tcBorders>
              <w:top w:val="nil"/>
              <w:left w:val="nil"/>
              <w:bottom w:val="single" w:sz="4" w:space="0" w:color="auto"/>
              <w:right w:val="single" w:sz="4" w:space="0" w:color="auto"/>
            </w:tcBorders>
            <w:shd w:val="clear" w:color="000000" w:fill="FFFFFF"/>
            <w:noWrap/>
            <w:vAlign w:val="center"/>
            <w:hideMark/>
          </w:tcPr>
          <w:p w14:paraId="59436DF5" w14:textId="77777777" w:rsidR="006409C6" w:rsidRPr="00816A2F" w:rsidRDefault="006409C6" w:rsidP="009A457B">
            <w:pPr>
              <w:spacing w:after="0" w:line="240" w:lineRule="auto"/>
              <w:jc w:val="center"/>
              <w:rPr>
                <w:rFonts w:ascii="Arial" w:eastAsia="Times New Roman" w:hAnsi="Arial" w:cs="Arial"/>
                <w:color w:val="000000"/>
                <w:sz w:val="20"/>
                <w:szCs w:val="20"/>
              </w:rPr>
            </w:pPr>
            <w:r w:rsidRPr="00816A2F">
              <w:rPr>
                <w:rFonts w:ascii="Arial" w:eastAsia="Times New Roman" w:hAnsi="Arial" w:cs="Arial"/>
                <w:color w:val="000000"/>
                <w:sz w:val="20"/>
                <w:szCs w:val="20"/>
              </w:rPr>
              <w:t>0,00</w:t>
            </w:r>
          </w:p>
        </w:tc>
        <w:tc>
          <w:tcPr>
            <w:tcW w:w="1833" w:type="dxa"/>
            <w:tcBorders>
              <w:top w:val="nil"/>
              <w:left w:val="nil"/>
              <w:bottom w:val="single" w:sz="4" w:space="0" w:color="auto"/>
              <w:right w:val="single" w:sz="4" w:space="0" w:color="auto"/>
            </w:tcBorders>
            <w:shd w:val="clear" w:color="000000" w:fill="FFFFFF"/>
            <w:noWrap/>
            <w:vAlign w:val="center"/>
            <w:hideMark/>
          </w:tcPr>
          <w:p w14:paraId="0ADE383C" w14:textId="77777777" w:rsidR="006409C6" w:rsidRPr="00816A2F" w:rsidRDefault="006409C6" w:rsidP="009A457B">
            <w:pPr>
              <w:spacing w:after="0" w:line="240" w:lineRule="auto"/>
              <w:jc w:val="center"/>
              <w:rPr>
                <w:rFonts w:ascii="Arial" w:eastAsia="Times New Roman" w:hAnsi="Arial" w:cs="Arial"/>
                <w:color w:val="000000"/>
                <w:sz w:val="20"/>
                <w:szCs w:val="20"/>
              </w:rPr>
            </w:pPr>
            <w:r w:rsidRPr="00816A2F">
              <w:rPr>
                <w:rFonts w:ascii="Arial" w:eastAsia="Times New Roman" w:hAnsi="Arial" w:cs="Arial"/>
                <w:color w:val="000000"/>
                <w:sz w:val="20"/>
                <w:szCs w:val="20"/>
              </w:rPr>
              <w:t xml:space="preserve">71 830,86 </w:t>
            </w:r>
          </w:p>
        </w:tc>
      </w:tr>
      <w:tr w:rsidR="006409C6" w:rsidRPr="00816A2F" w14:paraId="30D5AE74" w14:textId="77777777" w:rsidTr="009A457B">
        <w:trPr>
          <w:trHeight w:val="610"/>
        </w:trPr>
        <w:tc>
          <w:tcPr>
            <w:tcW w:w="1056" w:type="dxa"/>
            <w:tcBorders>
              <w:top w:val="nil"/>
              <w:left w:val="single" w:sz="4" w:space="0" w:color="auto"/>
              <w:bottom w:val="single" w:sz="4" w:space="0" w:color="auto"/>
              <w:right w:val="single" w:sz="4" w:space="0" w:color="auto"/>
            </w:tcBorders>
            <w:shd w:val="clear" w:color="000000" w:fill="FFFFFF"/>
            <w:noWrap/>
            <w:hideMark/>
          </w:tcPr>
          <w:p w14:paraId="081F4A7B" w14:textId="77777777" w:rsidR="006409C6" w:rsidRPr="00816A2F" w:rsidRDefault="006409C6" w:rsidP="009A457B">
            <w:pPr>
              <w:spacing w:after="0" w:line="240" w:lineRule="auto"/>
              <w:jc w:val="right"/>
              <w:rPr>
                <w:rFonts w:ascii="Arial" w:eastAsia="Times New Roman" w:hAnsi="Arial" w:cs="Arial"/>
                <w:color w:val="000000"/>
                <w:sz w:val="20"/>
                <w:szCs w:val="20"/>
              </w:rPr>
            </w:pPr>
            <w:r w:rsidRPr="00816A2F">
              <w:rPr>
                <w:rFonts w:ascii="Arial" w:eastAsia="Times New Roman" w:hAnsi="Arial" w:cs="Arial"/>
                <w:color w:val="000000"/>
                <w:sz w:val="20"/>
                <w:szCs w:val="20"/>
              </w:rPr>
              <w:t>01</w:t>
            </w:r>
          </w:p>
        </w:tc>
        <w:tc>
          <w:tcPr>
            <w:tcW w:w="1207" w:type="dxa"/>
            <w:tcBorders>
              <w:top w:val="nil"/>
              <w:left w:val="nil"/>
              <w:bottom w:val="single" w:sz="4" w:space="0" w:color="auto"/>
              <w:right w:val="single" w:sz="4" w:space="0" w:color="auto"/>
            </w:tcBorders>
            <w:shd w:val="clear" w:color="000000" w:fill="FFFFFF"/>
            <w:noWrap/>
            <w:hideMark/>
          </w:tcPr>
          <w:p w14:paraId="3378F3C0" w14:textId="77777777" w:rsidR="006409C6" w:rsidRPr="00816A2F" w:rsidRDefault="006409C6" w:rsidP="009A457B">
            <w:pPr>
              <w:spacing w:after="0" w:line="240" w:lineRule="auto"/>
              <w:jc w:val="right"/>
              <w:rPr>
                <w:rFonts w:ascii="Arial" w:eastAsia="Times New Roman" w:hAnsi="Arial" w:cs="Arial"/>
                <w:color w:val="000000"/>
                <w:sz w:val="20"/>
                <w:szCs w:val="20"/>
              </w:rPr>
            </w:pPr>
            <w:r w:rsidRPr="00816A2F">
              <w:rPr>
                <w:rFonts w:ascii="Arial" w:eastAsia="Times New Roman" w:hAnsi="Arial" w:cs="Arial"/>
                <w:color w:val="000000"/>
                <w:sz w:val="20"/>
                <w:szCs w:val="20"/>
              </w:rPr>
              <w:t>777</w:t>
            </w:r>
          </w:p>
        </w:tc>
        <w:tc>
          <w:tcPr>
            <w:tcW w:w="7488" w:type="dxa"/>
            <w:gridSpan w:val="3"/>
            <w:tcBorders>
              <w:top w:val="nil"/>
              <w:left w:val="nil"/>
              <w:bottom w:val="single" w:sz="4" w:space="0" w:color="auto"/>
              <w:right w:val="single" w:sz="4" w:space="0" w:color="auto"/>
            </w:tcBorders>
            <w:shd w:val="clear" w:color="000000" w:fill="FFFFFF"/>
            <w:noWrap/>
            <w:vAlign w:val="center"/>
            <w:hideMark/>
          </w:tcPr>
          <w:p w14:paraId="422BE6E4" w14:textId="77777777" w:rsidR="006409C6" w:rsidRPr="00816A2F" w:rsidRDefault="006409C6" w:rsidP="009A457B">
            <w:pPr>
              <w:spacing w:after="0" w:line="240" w:lineRule="auto"/>
              <w:jc w:val="center"/>
              <w:rPr>
                <w:rFonts w:ascii="Arial" w:eastAsia="Times New Roman" w:hAnsi="Arial" w:cs="Arial"/>
                <w:color w:val="000000"/>
                <w:sz w:val="20"/>
                <w:szCs w:val="20"/>
              </w:rPr>
            </w:pPr>
            <w:r w:rsidRPr="00816A2F">
              <w:rPr>
                <w:rFonts w:ascii="Arial" w:eastAsia="Times New Roman" w:hAnsi="Arial" w:cs="Arial"/>
                <w:color w:val="000000"/>
                <w:sz w:val="20"/>
                <w:szCs w:val="20"/>
              </w:rPr>
              <w:t>QUOTE PART SUBV. D'INVEST. TRANSF. CPTE DE RESULTA</w:t>
            </w:r>
          </w:p>
        </w:tc>
        <w:tc>
          <w:tcPr>
            <w:tcW w:w="1572" w:type="dxa"/>
            <w:tcBorders>
              <w:top w:val="nil"/>
              <w:left w:val="nil"/>
              <w:bottom w:val="single" w:sz="4" w:space="0" w:color="auto"/>
              <w:right w:val="single" w:sz="4" w:space="0" w:color="auto"/>
            </w:tcBorders>
            <w:shd w:val="clear" w:color="000000" w:fill="FFFFFF"/>
            <w:noWrap/>
            <w:vAlign w:val="center"/>
            <w:hideMark/>
          </w:tcPr>
          <w:p w14:paraId="29458003" w14:textId="77777777" w:rsidR="006409C6" w:rsidRPr="00816A2F" w:rsidRDefault="006409C6" w:rsidP="009A457B">
            <w:pPr>
              <w:spacing w:after="0" w:line="240" w:lineRule="auto"/>
              <w:jc w:val="center"/>
              <w:rPr>
                <w:rFonts w:ascii="Arial" w:eastAsia="Times New Roman" w:hAnsi="Arial" w:cs="Arial"/>
                <w:color w:val="000000"/>
                <w:sz w:val="20"/>
                <w:szCs w:val="20"/>
              </w:rPr>
            </w:pPr>
            <w:r w:rsidRPr="00816A2F">
              <w:rPr>
                <w:rFonts w:ascii="Arial" w:eastAsia="Times New Roman" w:hAnsi="Arial" w:cs="Arial"/>
                <w:color w:val="000000"/>
                <w:sz w:val="20"/>
                <w:szCs w:val="20"/>
              </w:rPr>
              <w:t>8 700,00</w:t>
            </w:r>
          </w:p>
        </w:tc>
        <w:tc>
          <w:tcPr>
            <w:tcW w:w="1730" w:type="dxa"/>
            <w:tcBorders>
              <w:top w:val="nil"/>
              <w:left w:val="nil"/>
              <w:bottom w:val="single" w:sz="4" w:space="0" w:color="auto"/>
              <w:right w:val="single" w:sz="4" w:space="0" w:color="auto"/>
            </w:tcBorders>
            <w:shd w:val="clear" w:color="000000" w:fill="FFFFFF"/>
            <w:noWrap/>
            <w:vAlign w:val="center"/>
            <w:hideMark/>
          </w:tcPr>
          <w:p w14:paraId="6A4CBBFE" w14:textId="77777777" w:rsidR="006409C6" w:rsidRPr="00816A2F" w:rsidRDefault="006409C6" w:rsidP="009A457B">
            <w:pPr>
              <w:spacing w:after="0" w:line="240" w:lineRule="auto"/>
              <w:jc w:val="center"/>
              <w:rPr>
                <w:rFonts w:ascii="Arial" w:eastAsia="Times New Roman" w:hAnsi="Arial" w:cs="Arial"/>
                <w:color w:val="000000"/>
                <w:sz w:val="20"/>
                <w:szCs w:val="20"/>
              </w:rPr>
            </w:pPr>
            <w:r w:rsidRPr="00816A2F">
              <w:rPr>
                <w:rFonts w:ascii="Arial" w:eastAsia="Times New Roman" w:hAnsi="Arial" w:cs="Arial"/>
                <w:color w:val="000000"/>
                <w:sz w:val="20"/>
                <w:szCs w:val="20"/>
              </w:rPr>
              <w:t>8 636,70</w:t>
            </w:r>
          </w:p>
        </w:tc>
        <w:tc>
          <w:tcPr>
            <w:tcW w:w="1833" w:type="dxa"/>
            <w:tcBorders>
              <w:top w:val="nil"/>
              <w:left w:val="nil"/>
              <w:bottom w:val="single" w:sz="4" w:space="0" w:color="auto"/>
              <w:right w:val="single" w:sz="4" w:space="0" w:color="auto"/>
            </w:tcBorders>
            <w:shd w:val="clear" w:color="000000" w:fill="FFFFFF"/>
            <w:noWrap/>
            <w:vAlign w:val="center"/>
            <w:hideMark/>
          </w:tcPr>
          <w:p w14:paraId="1CD4F55D" w14:textId="77777777" w:rsidR="006409C6" w:rsidRPr="00816A2F" w:rsidRDefault="006409C6" w:rsidP="009A457B">
            <w:pPr>
              <w:spacing w:after="0" w:line="240" w:lineRule="auto"/>
              <w:jc w:val="center"/>
              <w:rPr>
                <w:rFonts w:ascii="Arial" w:eastAsia="Times New Roman" w:hAnsi="Arial" w:cs="Arial"/>
                <w:color w:val="000000"/>
                <w:sz w:val="20"/>
                <w:szCs w:val="20"/>
              </w:rPr>
            </w:pPr>
            <w:r w:rsidRPr="00816A2F">
              <w:rPr>
                <w:rFonts w:ascii="Arial" w:eastAsia="Times New Roman" w:hAnsi="Arial" w:cs="Arial"/>
                <w:color w:val="000000"/>
                <w:sz w:val="20"/>
                <w:szCs w:val="20"/>
              </w:rPr>
              <w:t xml:space="preserve">6 500,00 </w:t>
            </w:r>
          </w:p>
        </w:tc>
      </w:tr>
      <w:tr w:rsidR="006409C6" w:rsidRPr="00816A2F" w14:paraId="74447B34" w14:textId="77777777" w:rsidTr="009A457B">
        <w:trPr>
          <w:trHeight w:val="610"/>
        </w:trPr>
        <w:tc>
          <w:tcPr>
            <w:tcW w:w="1056" w:type="dxa"/>
            <w:tcBorders>
              <w:top w:val="nil"/>
              <w:left w:val="single" w:sz="4" w:space="0" w:color="auto"/>
              <w:bottom w:val="single" w:sz="4" w:space="0" w:color="auto"/>
              <w:right w:val="single" w:sz="4" w:space="0" w:color="auto"/>
            </w:tcBorders>
            <w:shd w:val="clear" w:color="000000" w:fill="FFFFFF"/>
            <w:noWrap/>
            <w:hideMark/>
          </w:tcPr>
          <w:p w14:paraId="10925E6D" w14:textId="77777777" w:rsidR="006409C6" w:rsidRPr="00816A2F" w:rsidRDefault="006409C6" w:rsidP="009A457B">
            <w:pPr>
              <w:spacing w:after="0" w:line="240" w:lineRule="auto"/>
              <w:jc w:val="right"/>
              <w:rPr>
                <w:rFonts w:ascii="Arial" w:eastAsia="Times New Roman" w:hAnsi="Arial" w:cs="Arial"/>
                <w:color w:val="000000"/>
                <w:sz w:val="20"/>
                <w:szCs w:val="20"/>
              </w:rPr>
            </w:pPr>
            <w:r w:rsidRPr="00816A2F">
              <w:rPr>
                <w:rFonts w:ascii="Arial" w:eastAsia="Times New Roman" w:hAnsi="Arial" w:cs="Arial"/>
                <w:color w:val="000000"/>
                <w:sz w:val="20"/>
                <w:szCs w:val="20"/>
              </w:rPr>
              <w:t>020</w:t>
            </w:r>
          </w:p>
        </w:tc>
        <w:tc>
          <w:tcPr>
            <w:tcW w:w="1207" w:type="dxa"/>
            <w:tcBorders>
              <w:top w:val="nil"/>
              <w:left w:val="nil"/>
              <w:bottom w:val="single" w:sz="4" w:space="0" w:color="auto"/>
              <w:right w:val="single" w:sz="4" w:space="0" w:color="auto"/>
            </w:tcBorders>
            <w:shd w:val="clear" w:color="000000" w:fill="FFFFFF"/>
            <w:noWrap/>
            <w:hideMark/>
          </w:tcPr>
          <w:p w14:paraId="5A3D3D9C" w14:textId="77777777" w:rsidR="006409C6" w:rsidRPr="00816A2F" w:rsidRDefault="006409C6" w:rsidP="009A457B">
            <w:pPr>
              <w:spacing w:after="0" w:line="240" w:lineRule="auto"/>
              <w:jc w:val="right"/>
              <w:rPr>
                <w:rFonts w:ascii="Arial" w:eastAsia="Times New Roman" w:hAnsi="Arial" w:cs="Arial"/>
                <w:color w:val="000000"/>
                <w:sz w:val="20"/>
                <w:szCs w:val="20"/>
              </w:rPr>
            </w:pPr>
            <w:r w:rsidRPr="00816A2F">
              <w:rPr>
                <w:rFonts w:ascii="Arial" w:eastAsia="Times New Roman" w:hAnsi="Arial" w:cs="Arial"/>
                <w:color w:val="000000"/>
                <w:sz w:val="20"/>
                <w:szCs w:val="20"/>
              </w:rPr>
              <w:t>74718</w:t>
            </w:r>
          </w:p>
        </w:tc>
        <w:tc>
          <w:tcPr>
            <w:tcW w:w="7488" w:type="dxa"/>
            <w:gridSpan w:val="3"/>
            <w:tcBorders>
              <w:top w:val="nil"/>
              <w:left w:val="nil"/>
              <w:bottom w:val="single" w:sz="4" w:space="0" w:color="auto"/>
              <w:right w:val="single" w:sz="4" w:space="0" w:color="auto"/>
            </w:tcBorders>
            <w:shd w:val="clear" w:color="000000" w:fill="FFFFFF"/>
            <w:noWrap/>
            <w:vAlign w:val="center"/>
            <w:hideMark/>
          </w:tcPr>
          <w:p w14:paraId="7A71647B" w14:textId="77777777" w:rsidR="006409C6" w:rsidRPr="00816A2F" w:rsidRDefault="006409C6" w:rsidP="009A457B">
            <w:pPr>
              <w:spacing w:after="0" w:line="240" w:lineRule="auto"/>
              <w:jc w:val="center"/>
              <w:rPr>
                <w:rFonts w:ascii="Arial" w:eastAsia="Times New Roman" w:hAnsi="Arial" w:cs="Arial"/>
                <w:color w:val="000000"/>
                <w:sz w:val="20"/>
                <w:szCs w:val="20"/>
              </w:rPr>
            </w:pPr>
            <w:r w:rsidRPr="00816A2F">
              <w:rPr>
                <w:rFonts w:ascii="Arial" w:eastAsia="Times New Roman" w:hAnsi="Arial" w:cs="Arial"/>
                <w:color w:val="000000"/>
                <w:sz w:val="20"/>
                <w:szCs w:val="20"/>
              </w:rPr>
              <w:t>AUTRES</w:t>
            </w:r>
            <w:r>
              <w:rPr>
                <w:rFonts w:ascii="Arial" w:eastAsia="Times New Roman" w:hAnsi="Arial" w:cs="Arial"/>
                <w:color w:val="000000"/>
                <w:sz w:val="20"/>
                <w:szCs w:val="20"/>
              </w:rPr>
              <w:t xml:space="preserve"> SUBVENTIONS</w:t>
            </w:r>
          </w:p>
        </w:tc>
        <w:tc>
          <w:tcPr>
            <w:tcW w:w="1572" w:type="dxa"/>
            <w:tcBorders>
              <w:top w:val="nil"/>
              <w:left w:val="nil"/>
              <w:bottom w:val="single" w:sz="4" w:space="0" w:color="auto"/>
              <w:right w:val="single" w:sz="4" w:space="0" w:color="auto"/>
            </w:tcBorders>
            <w:shd w:val="clear" w:color="000000" w:fill="FFFFFF"/>
            <w:noWrap/>
            <w:vAlign w:val="center"/>
            <w:hideMark/>
          </w:tcPr>
          <w:p w14:paraId="6B28C894" w14:textId="77777777" w:rsidR="006409C6" w:rsidRPr="00816A2F" w:rsidRDefault="006409C6" w:rsidP="009A457B">
            <w:pPr>
              <w:spacing w:after="0" w:line="240" w:lineRule="auto"/>
              <w:jc w:val="center"/>
              <w:rPr>
                <w:rFonts w:ascii="Arial" w:eastAsia="Times New Roman" w:hAnsi="Arial" w:cs="Arial"/>
                <w:color w:val="000000"/>
                <w:sz w:val="20"/>
                <w:szCs w:val="20"/>
              </w:rPr>
            </w:pPr>
            <w:r w:rsidRPr="00816A2F">
              <w:rPr>
                <w:rFonts w:ascii="Arial" w:eastAsia="Times New Roman" w:hAnsi="Arial" w:cs="Arial"/>
                <w:color w:val="000000"/>
                <w:sz w:val="20"/>
                <w:szCs w:val="20"/>
              </w:rPr>
              <w:t>12 500,00</w:t>
            </w:r>
          </w:p>
        </w:tc>
        <w:tc>
          <w:tcPr>
            <w:tcW w:w="1730" w:type="dxa"/>
            <w:tcBorders>
              <w:top w:val="nil"/>
              <w:left w:val="nil"/>
              <w:bottom w:val="single" w:sz="4" w:space="0" w:color="auto"/>
              <w:right w:val="single" w:sz="4" w:space="0" w:color="auto"/>
            </w:tcBorders>
            <w:shd w:val="clear" w:color="000000" w:fill="FFFFFF"/>
            <w:noWrap/>
            <w:vAlign w:val="center"/>
            <w:hideMark/>
          </w:tcPr>
          <w:p w14:paraId="16A3C663" w14:textId="77777777" w:rsidR="006409C6" w:rsidRPr="00816A2F" w:rsidRDefault="006409C6" w:rsidP="009A457B">
            <w:pPr>
              <w:spacing w:after="0" w:line="240" w:lineRule="auto"/>
              <w:jc w:val="center"/>
              <w:rPr>
                <w:rFonts w:ascii="Arial" w:eastAsia="Times New Roman" w:hAnsi="Arial" w:cs="Arial"/>
                <w:color w:val="000000"/>
                <w:sz w:val="20"/>
                <w:szCs w:val="20"/>
              </w:rPr>
            </w:pPr>
            <w:r w:rsidRPr="00816A2F">
              <w:rPr>
                <w:rFonts w:ascii="Arial" w:eastAsia="Times New Roman" w:hAnsi="Arial" w:cs="Arial"/>
                <w:color w:val="000000"/>
                <w:sz w:val="20"/>
                <w:szCs w:val="20"/>
              </w:rPr>
              <w:t>0,00</w:t>
            </w:r>
          </w:p>
        </w:tc>
        <w:tc>
          <w:tcPr>
            <w:tcW w:w="1833" w:type="dxa"/>
            <w:tcBorders>
              <w:top w:val="nil"/>
              <w:left w:val="nil"/>
              <w:bottom w:val="single" w:sz="4" w:space="0" w:color="auto"/>
              <w:right w:val="single" w:sz="4" w:space="0" w:color="auto"/>
            </w:tcBorders>
            <w:shd w:val="clear" w:color="000000" w:fill="FFFFFF"/>
            <w:noWrap/>
            <w:vAlign w:val="center"/>
            <w:hideMark/>
          </w:tcPr>
          <w:p w14:paraId="23FE77BE" w14:textId="77777777" w:rsidR="006409C6" w:rsidRPr="00816A2F" w:rsidRDefault="006409C6" w:rsidP="009A457B">
            <w:pPr>
              <w:spacing w:after="0" w:line="240" w:lineRule="auto"/>
              <w:jc w:val="center"/>
              <w:rPr>
                <w:rFonts w:ascii="Arial" w:eastAsia="Times New Roman" w:hAnsi="Arial" w:cs="Arial"/>
                <w:color w:val="000000"/>
                <w:sz w:val="20"/>
                <w:szCs w:val="20"/>
              </w:rPr>
            </w:pPr>
            <w:r w:rsidRPr="00816A2F">
              <w:rPr>
                <w:rFonts w:ascii="Arial" w:eastAsia="Times New Roman" w:hAnsi="Arial" w:cs="Arial"/>
                <w:color w:val="000000"/>
                <w:sz w:val="20"/>
                <w:szCs w:val="20"/>
              </w:rPr>
              <w:t>-   €</w:t>
            </w:r>
          </w:p>
        </w:tc>
      </w:tr>
      <w:tr w:rsidR="006409C6" w:rsidRPr="00816A2F" w14:paraId="198522C9" w14:textId="77777777" w:rsidTr="009A457B">
        <w:trPr>
          <w:trHeight w:val="610"/>
        </w:trPr>
        <w:tc>
          <w:tcPr>
            <w:tcW w:w="1056" w:type="dxa"/>
            <w:tcBorders>
              <w:top w:val="nil"/>
              <w:left w:val="single" w:sz="4" w:space="0" w:color="auto"/>
              <w:bottom w:val="single" w:sz="4" w:space="0" w:color="auto"/>
              <w:right w:val="single" w:sz="4" w:space="0" w:color="auto"/>
            </w:tcBorders>
            <w:shd w:val="clear" w:color="000000" w:fill="FFFFFF"/>
            <w:noWrap/>
            <w:hideMark/>
          </w:tcPr>
          <w:p w14:paraId="0237692A" w14:textId="77777777" w:rsidR="006409C6" w:rsidRPr="00816A2F" w:rsidRDefault="006409C6" w:rsidP="009A457B">
            <w:pPr>
              <w:spacing w:after="0" w:line="240" w:lineRule="auto"/>
              <w:jc w:val="right"/>
              <w:rPr>
                <w:rFonts w:ascii="Arial" w:eastAsia="Times New Roman" w:hAnsi="Arial" w:cs="Arial"/>
                <w:color w:val="000000"/>
                <w:sz w:val="20"/>
                <w:szCs w:val="20"/>
              </w:rPr>
            </w:pPr>
            <w:r w:rsidRPr="00816A2F">
              <w:rPr>
                <w:rFonts w:ascii="Arial" w:eastAsia="Times New Roman" w:hAnsi="Arial" w:cs="Arial"/>
                <w:color w:val="000000"/>
                <w:sz w:val="20"/>
                <w:szCs w:val="20"/>
              </w:rPr>
              <w:t>020</w:t>
            </w:r>
          </w:p>
        </w:tc>
        <w:tc>
          <w:tcPr>
            <w:tcW w:w="1207" w:type="dxa"/>
            <w:tcBorders>
              <w:top w:val="nil"/>
              <w:left w:val="nil"/>
              <w:bottom w:val="single" w:sz="4" w:space="0" w:color="auto"/>
              <w:right w:val="single" w:sz="4" w:space="0" w:color="auto"/>
            </w:tcBorders>
            <w:shd w:val="clear" w:color="000000" w:fill="FFFFFF"/>
            <w:noWrap/>
            <w:hideMark/>
          </w:tcPr>
          <w:p w14:paraId="22CA19B2" w14:textId="77777777" w:rsidR="006409C6" w:rsidRPr="00816A2F" w:rsidRDefault="006409C6" w:rsidP="009A457B">
            <w:pPr>
              <w:spacing w:after="0" w:line="240" w:lineRule="auto"/>
              <w:jc w:val="right"/>
              <w:rPr>
                <w:rFonts w:ascii="Arial" w:eastAsia="Times New Roman" w:hAnsi="Arial" w:cs="Arial"/>
                <w:color w:val="000000"/>
                <w:sz w:val="20"/>
                <w:szCs w:val="20"/>
              </w:rPr>
            </w:pPr>
            <w:r w:rsidRPr="00816A2F">
              <w:rPr>
                <w:rFonts w:ascii="Arial" w:eastAsia="Times New Roman" w:hAnsi="Arial" w:cs="Arial"/>
                <w:color w:val="000000"/>
                <w:sz w:val="20"/>
                <w:szCs w:val="20"/>
              </w:rPr>
              <w:t>74758</w:t>
            </w:r>
          </w:p>
        </w:tc>
        <w:tc>
          <w:tcPr>
            <w:tcW w:w="7488" w:type="dxa"/>
            <w:gridSpan w:val="3"/>
            <w:tcBorders>
              <w:top w:val="nil"/>
              <w:left w:val="nil"/>
              <w:bottom w:val="single" w:sz="4" w:space="0" w:color="auto"/>
              <w:right w:val="single" w:sz="4" w:space="0" w:color="auto"/>
            </w:tcBorders>
            <w:shd w:val="clear" w:color="000000" w:fill="FFFFFF"/>
            <w:noWrap/>
            <w:vAlign w:val="center"/>
            <w:hideMark/>
          </w:tcPr>
          <w:p w14:paraId="3E48864D" w14:textId="77777777" w:rsidR="006409C6" w:rsidRPr="00816A2F" w:rsidRDefault="006409C6" w:rsidP="009A457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COTISATIONS DES MEMBRES</w:t>
            </w:r>
          </w:p>
        </w:tc>
        <w:tc>
          <w:tcPr>
            <w:tcW w:w="1572" w:type="dxa"/>
            <w:tcBorders>
              <w:top w:val="nil"/>
              <w:left w:val="nil"/>
              <w:bottom w:val="single" w:sz="4" w:space="0" w:color="auto"/>
              <w:right w:val="single" w:sz="4" w:space="0" w:color="auto"/>
            </w:tcBorders>
            <w:shd w:val="clear" w:color="000000" w:fill="FFFFFF"/>
            <w:noWrap/>
            <w:vAlign w:val="center"/>
            <w:hideMark/>
          </w:tcPr>
          <w:p w14:paraId="7F551122" w14:textId="77777777" w:rsidR="006409C6" w:rsidRPr="00816A2F" w:rsidRDefault="006409C6" w:rsidP="009A457B">
            <w:pPr>
              <w:spacing w:after="0" w:line="240" w:lineRule="auto"/>
              <w:jc w:val="center"/>
              <w:rPr>
                <w:rFonts w:ascii="Arial" w:eastAsia="Times New Roman" w:hAnsi="Arial" w:cs="Arial"/>
                <w:color w:val="000000"/>
                <w:sz w:val="20"/>
                <w:szCs w:val="20"/>
              </w:rPr>
            </w:pPr>
            <w:r w:rsidRPr="00816A2F">
              <w:rPr>
                <w:rFonts w:ascii="Arial" w:eastAsia="Times New Roman" w:hAnsi="Arial" w:cs="Arial"/>
                <w:color w:val="000000"/>
                <w:sz w:val="20"/>
                <w:szCs w:val="20"/>
              </w:rPr>
              <w:t>116 118,83</w:t>
            </w:r>
          </w:p>
        </w:tc>
        <w:tc>
          <w:tcPr>
            <w:tcW w:w="1730" w:type="dxa"/>
            <w:tcBorders>
              <w:top w:val="nil"/>
              <w:left w:val="nil"/>
              <w:bottom w:val="single" w:sz="4" w:space="0" w:color="auto"/>
              <w:right w:val="single" w:sz="4" w:space="0" w:color="auto"/>
            </w:tcBorders>
            <w:shd w:val="clear" w:color="000000" w:fill="FFFFFF"/>
            <w:noWrap/>
            <w:vAlign w:val="center"/>
            <w:hideMark/>
          </w:tcPr>
          <w:p w14:paraId="7D7F4B65" w14:textId="77777777" w:rsidR="006409C6" w:rsidRPr="00816A2F" w:rsidRDefault="006409C6" w:rsidP="009A457B">
            <w:pPr>
              <w:spacing w:after="0" w:line="240" w:lineRule="auto"/>
              <w:jc w:val="center"/>
              <w:rPr>
                <w:rFonts w:ascii="Arial" w:eastAsia="Times New Roman" w:hAnsi="Arial" w:cs="Arial"/>
                <w:color w:val="000000"/>
                <w:sz w:val="20"/>
                <w:szCs w:val="20"/>
              </w:rPr>
            </w:pPr>
            <w:r w:rsidRPr="00816A2F">
              <w:rPr>
                <w:rFonts w:ascii="Arial" w:eastAsia="Times New Roman" w:hAnsi="Arial" w:cs="Arial"/>
                <w:color w:val="000000"/>
                <w:sz w:val="20"/>
                <w:szCs w:val="20"/>
              </w:rPr>
              <w:t>116 118,83</w:t>
            </w:r>
          </w:p>
        </w:tc>
        <w:tc>
          <w:tcPr>
            <w:tcW w:w="1833" w:type="dxa"/>
            <w:tcBorders>
              <w:top w:val="nil"/>
              <w:left w:val="nil"/>
              <w:bottom w:val="single" w:sz="4" w:space="0" w:color="auto"/>
              <w:right w:val="single" w:sz="4" w:space="0" w:color="auto"/>
            </w:tcBorders>
            <w:shd w:val="clear" w:color="000000" w:fill="FFFFFF"/>
            <w:noWrap/>
            <w:vAlign w:val="center"/>
            <w:hideMark/>
          </w:tcPr>
          <w:p w14:paraId="177C6040" w14:textId="77777777" w:rsidR="006409C6" w:rsidRPr="00342286" w:rsidRDefault="006409C6" w:rsidP="009A457B">
            <w:pPr>
              <w:spacing w:after="0" w:line="240" w:lineRule="auto"/>
              <w:jc w:val="center"/>
              <w:rPr>
                <w:rFonts w:ascii="Arial" w:eastAsia="Times New Roman" w:hAnsi="Arial" w:cs="Arial"/>
                <w:b/>
                <w:bCs/>
                <w:color w:val="0E2841" w:themeColor="text2"/>
                <w:sz w:val="20"/>
                <w:szCs w:val="20"/>
              </w:rPr>
            </w:pPr>
            <w:r w:rsidRPr="00342286">
              <w:rPr>
                <w:rFonts w:ascii="Arial" w:eastAsia="Times New Roman" w:hAnsi="Arial" w:cs="Arial"/>
                <w:b/>
                <w:bCs/>
                <w:color w:val="0E2841" w:themeColor="text2"/>
                <w:sz w:val="20"/>
                <w:szCs w:val="20"/>
              </w:rPr>
              <w:t xml:space="preserve">135 582,50 </w:t>
            </w:r>
          </w:p>
        </w:tc>
      </w:tr>
      <w:tr w:rsidR="006409C6" w:rsidRPr="00816A2F" w14:paraId="129D26ED" w14:textId="77777777" w:rsidTr="009A457B">
        <w:trPr>
          <w:trHeight w:val="610"/>
        </w:trPr>
        <w:tc>
          <w:tcPr>
            <w:tcW w:w="1056" w:type="dxa"/>
            <w:tcBorders>
              <w:top w:val="nil"/>
              <w:left w:val="single" w:sz="4" w:space="0" w:color="auto"/>
              <w:bottom w:val="single" w:sz="4" w:space="0" w:color="auto"/>
              <w:right w:val="nil"/>
            </w:tcBorders>
            <w:shd w:val="clear" w:color="000000" w:fill="FFFFFF"/>
            <w:noWrap/>
            <w:hideMark/>
          </w:tcPr>
          <w:p w14:paraId="239440F4" w14:textId="77777777" w:rsidR="006409C6" w:rsidRPr="00816A2F" w:rsidRDefault="006409C6" w:rsidP="009A457B">
            <w:pPr>
              <w:spacing w:after="0" w:line="240" w:lineRule="auto"/>
              <w:rPr>
                <w:rFonts w:ascii="Arial" w:eastAsia="Times New Roman" w:hAnsi="Arial" w:cs="Arial"/>
                <w:b/>
                <w:bCs/>
                <w:color w:val="000000"/>
                <w:sz w:val="20"/>
                <w:szCs w:val="20"/>
              </w:rPr>
            </w:pPr>
            <w:r w:rsidRPr="00816A2F">
              <w:rPr>
                <w:rFonts w:ascii="Arial" w:eastAsia="Times New Roman" w:hAnsi="Arial" w:cs="Arial"/>
                <w:b/>
                <w:bCs/>
                <w:color w:val="000000"/>
                <w:sz w:val="20"/>
                <w:szCs w:val="20"/>
              </w:rPr>
              <w:t> </w:t>
            </w:r>
          </w:p>
        </w:tc>
        <w:tc>
          <w:tcPr>
            <w:tcW w:w="4562" w:type="dxa"/>
            <w:gridSpan w:val="2"/>
            <w:tcBorders>
              <w:top w:val="nil"/>
              <w:left w:val="nil"/>
              <w:bottom w:val="single" w:sz="4" w:space="0" w:color="auto"/>
              <w:right w:val="nil"/>
            </w:tcBorders>
            <w:shd w:val="clear" w:color="000000" w:fill="FFFFFF"/>
            <w:noWrap/>
            <w:hideMark/>
          </w:tcPr>
          <w:p w14:paraId="098C9282" w14:textId="77777777" w:rsidR="006409C6" w:rsidRPr="00816A2F" w:rsidRDefault="006409C6" w:rsidP="009A457B">
            <w:pPr>
              <w:spacing w:after="0" w:line="240" w:lineRule="auto"/>
              <w:rPr>
                <w:rFonts w:ascii="Arial" w:eastAsia="Times New Roman" w:hAnsi="Arial" w:cs="Arial"/>
                <w:b/>
                <w:bCs/>
                <w:color w:val="000000"/>
                <w:sz w:val="20"/>
                <w:szCs w:val="20"/>
              </w:rPr>
            </w:pPr>
            <w:r w:rsidRPr="00816A2F">
              <w:rPr>
                <w:rFonts w:ascii="Arial" w:eastAsia="Times New Roman" w:hAnsi="Arial" w:cs="Arial"/>
                <w:b/>
                <w:bCs/>
                <w:color w:val="000000"/>
                <w:sz w:val="20"/>
                <w:szCs w:val="20"/>
              </w:rPr>
              <w:t> </w:t>
            </w:r>
          </w:p>
        </w:tc>
        <w:tc>
          <w:tcPr>
            <w:tcW w:w="834" w:type="dxa"/>
            <w:tcBorders>
              <w:top w:val="nil"/>
              <w:left w:val="nil"/>
              <w:bottom w:val="single" w:sz="4" w:space="0" w:color="auto"/>
              <w:right w:val="nil"/>
            </w:tcBorders>
            <w:shd w:val="clear" w:color="000000" w:fill="FFFFFF"/>
            <w:noWrap/>
            <w:hideMark/>
          </w:tcPr>
          <w:p w14:paraId="70DD2BBD" w14:textId="77777777" w:rsidR="006409C6" w:rsidRPr="00816A2F" w:rsidRDefault="006409C6" w:rsidP="009A457B">
            <w:pPr>
              <w:spacing w:after="0" w:line="240" w:lineRule="auto"/>
              <w:jc w:val="center"/>
              <w:rPr>
                <w:rFonts w:ascii="Arial" w:eastAsia="Times New Roman" w:hAnsi="Arial" w:cs="Arial"/>
                <w:b/>
                <w:bCs/>
                <w:color w:val="000000"/>
                <w:sz w:val="20"/>
                <w:szCs w:val="20"/>
              </w:rPr>
            </w:pPr>
          </w:p>
        </w:tc>
        <w:tc>
          <w:tcPr>
            <w:tcW w:w="3299" w:type="dxa"/>
            <w:tcBorders>
              <w:top w:val="nil"/>
              <w:left w:val="nil"/>
              <w:bottom w:val="single" w:sz="4" w:space="0" w:color="auto"/>
              <w:right w:val="single" w:sz="4" w:space="0" w:color="auto"/>
            </w:tcBorders>
            <w:shd w:val="clear" w:color="000000" w:fill="FFFFFF"/>
            <w:noWrap/>
            <w:hideMark/>
          </w:tcPr>
          <w:p w14:paraId="6FE3D96F" w14:textId="77777777" w:rsidR="006409C6" w:rsidRPr="00816A2F" w:rsidRDefault="006409C6" w:rsidP="009A457B">
            <w:pPr>
              <w:spacing w:after="0" w:line="240" w:lineRule="auto"/>
              <w:jc w:val="center"/>
              <w:rPr>
                <w:rFonts w:ascii="Arial" w:eastAsia="Times New Roman" w:hAnsi="Arial" w:cs="Arial"/>
                <w:b/>
                <w:bCs/>
                <w:color w:val="000000"/>
                <w:sz w:val="20"/>
                <w:szCs w:val="20"/>
              </w:rPr>
            </w:pPr>
            <w:r w:rsidRPr="00816A2F">
              <w:rPr>
                <w:rFonts w:ascii="Arial" w:eastAsia="Times New Roman" w:hAnsi="Arial" w:cs="Arial"/>
                <w:b/>
                <w:bCs/>
                <w:color w:val="000000"/>
                <w:sz w:val="20"/>
                <w:szCs w:val="20"/>
              </w:rPr>
              <w:t>Total</w:t>
            </w:r>
          </w:p>
        </w:tc>
        <w:tc>
          <w:tcPr>
            <w:tcW w:w="1572" w:type="dxa"/>
            <w:tcBorders>
              <w:top w:val="nil"/>
              <w:left w:val="nil"/>
              <w:bottom w:val="single" w:sz="4" w:space="0" w:color="auto"/>
              <w:right w:val="single" w:sz="4" w:space="0" w:color="auto"/>
            </w:tcBorders>
            <w:shd w:val="clear" w:color="000000" w:fill="FFFFFF"/>
            <w:noWrap/>
            <w:vAlign w:val="center"/>
            <w:hideMark/>
          </w:tcPr>
          <w:p w14:paraId="13196732" w14:textId="77777777" w:rsidR="006409C6" w:rsidRPr="00816A2F" w:rsidRDefault="006409C6" w:rsidP="009A457B">
            <w:pPr>
              <w:spacing w:after="0" w:line="240" w:lineRule="auto"/>
              <w:jc w:val="center"/>
              <w:rPr>
                <w:rFonts w:ascii="Arial" w:eastAsia="Times New Roman" w:hAnsi="Arial" w:cs="Arial"/>
                <w:b/>
                <w:bCs/>
                <w:color w:val="000000"/>
                <w:sz w:val="20"/>
                <w:szCs w:val="20"/>
              </w:rPr>
            </w:pPr>
            <w:r w:rsidRPr="00816A2F">
              <w:rPr>
                <w:rFonts w:ascii="Arial" w:eastAsia="Times New Roman" w:hAnsi="Arial" w:cs="Arial"/>
                <w:b/>
                <w:bCs/>
                <w:color w:val="000000"/>
                <w:sz w:val="20"/>
                <w:szCs w:val="20"/>
              </w:rPr>
              <w:t>219 690,90</w:t>
            </w:r>
          </w:p>
        </w:tc>
        <w:tc>
          <w:tcPr>
            <w:tcW w:w="1730" w:type="dxa"/>
            <w:tcBorders>
              <w:top w:val="nil"/>
              <w:left w:val="nil"/>
              <w:bottom w:val="single" w:sz="4" w:space="0" w:color="auto"/>
              <w:right w:val="single" w:sz="4" w:space="0" w:color="auto"/>
            </w:tcBorders>
            <w:shd w:val="clear" w:color="000000" w:fill="FFFFFF"/>
            <w:noWrap/>
            <w:vAlign w:val="center"/>
            <w:hideMark/>
          </w:tcPr>
          <w:p w14:paraId="5098A3FB" w14:textId="77777777" w:rsidR="006409C6" w:rsidRPr="00816A2F" w:rsidRDefault="006409C6" w:rsidP="009A457B">
            <w:pPr>
              <w:spacing w:after="0" w:line="240" w:lineRule="auto"/>
              <w:jc w:val="center"/>
              <w:rPr>
                <w:rFonts w:ascii="Arial" w:eastAsia="Times New Roman" w:hAnsi="Arial" w:cs="Arial"/>
                <w:color w:val="000000"/>
                <w:sz w:val="20"/>
                <w:szCs w:val="20"/>
              </w:rPr>
            </w:pPr>
            <w:r w:rsidRPr="00816A2F">
              <w:rPr>
                <w:rFonts w:ascii="Arial" w:eastAsia="Times New Roman" w:hAnsi="Arial" w:cs="Arial"/>
                <w:color w:val="000000"/>
                <w:sz w:val="20"/>
                <w:szCs w:val="20"/>
              </w:rPr>
              <w:t xml:space="preserve">124 755,53 </w:t>
            </w:r>
          </w:p>
        </w:tc>
        <w:tc>
          <w:tcPr>
            <w:tcW w:w="1833" w:type="dxa"/>
            <w:tcBorders>
              <w:top w:val="nil"/>
              <w:left w:val="nil"/>
              <w:bottom w:val="single" w:sz="4" w:space="0" w:color="auto"/>
              <w:right w:val="single" w:sz="4" w:space="0" w:color="auto"/>
            </w:tcBorders>
            <w:shd w:val="clear" w:color="000000" w:fill="FFFFFF"/>
            <w:noWrap/>
            <w:vAlign w:val="center"/>
            <w:hideMark/>
          </w:tcPr>
          <w:p w14:paraId="0AD7C494" w14:textId="77777777" w:rsidR="006409C6" w:rsidRPr="00816A2F" w:rsidRDefault="006409C6" w:rsidP="009A457B">
            <w:pPr>
              <w:spacing w:after="0" w:line="240" w:lineRule="auto"/>
              <w:jc w:val="center"/>
              <w:rPr>
                <w:rFonts w:ascii="Arial" w:eastAsia="Times New Roman" w:hAnsi="Arial" w:cs="Arial"/>
                <w:color w:val="000000"/>
                <w:sz w:val="20"/>
                <w:szCs w:val="20"/>
              </w:rPr>
            </w:pPr>
            <w:r w:rsidRPr="00816A2F">
              <w:rPr>
                <w:rFonts w:ascii="Arial" w:eastAsia="Times New Roman" w:hAnsi="Arial" w:cs="Arial"/>
                <w:color w:val="000000"/>
                <w:sz w:val="20"/>
                <w:szCs w:val="20"/>
              </w:rPr>
              <w:t xml:space="preserve">213 913,36 </w:t>
            </w:r>
          </w:p>
        </w:tc>
      </w:tr>
    </w:tbl>
    <w:p w14:paraId="31EB1EAD" w14:textId="77777777" w:rsidR="006409C6" w:rsidRDefault="006409C6" w:rsidP="006409C6">
      <w:pPr>
        <w:spacing w:line="240" w:lineRule="auto"/>
        <w:jc w:val="both"/>
        <w:rPr>
          <w:rFonts w:ascii="Times New Roman" w:hAnsi="Times New Roman" w:cs="Times New Roman"/>
          <w:sz w:val="24"/>
          <w:szCs w:val="24"/>
        </w:rPr>
      </w:pPr>
    </w:p>
    <w:p w14:paraId="24049EC1" w14:textId="77777777" w:rsidR="006409C6" w:rsidRDefault="006409C6" w:rsidP="006409C6">
      <w:pPr>
        <w:spacing w:line="240" w:lineRule="auto"/>
        <w:jc w:val="both"/>
        <w:rPr>
          <w:rFonts w:ascii="Times New Roman" w:hAnsi="Times New Roman" w:cs="Times New Roman"/>
          <w:sz w:val="24"/>
          <w:szCs w:val="24"/>
        </w:rPr>
      </w:pPr>
    </w:p>
    <w:p w14:paraId="604B05AA" w14:textId="77777777" w:rsidR="006409C6" w:rsidRDefault="006409C6" w:rsidP="006409C6">
      <w:pPr>
        <w:spacing w:line="240" w:lineRule="auto"/>
        <w:jc w:val="both"/>
        <w:rPr>
          <w:rFonts w:ascii="Times New Roman" w:hAnsi="Times New Roman" w:cs="Times New Roman"/>
          <w:sz w:val="24"/>
          <w:szCs w:val="24"/>
        </w:rPr>
      </w:pPr>
    </w:p>
    <w:p w14:paraId="39252366" w14:textId="77777777" w:rsidR="006409C6" w:rsidRPr="00D00E37" w:rsidRDefault="006409C6" w:rsidP="006409C6">
      <w:pPr>
        <w:spacing w:line="240" w:lineRule="auto"/>
        <w:jc w:val="both"/>
        <w:rPr>
          <w:rFonts w:ascii="Times New Roman" w:hAnsi="Times New Roman" w:cs="Times New Roman"/>
          <w:sz w:val="24"/>
          <w:szCs w:val="24"/>
        </w:rPr>
      </w:pPr>
      <w:r>
        <w:rPr>
          <w:rFonts w:ascii="Times New Roman" w:hAnsi="Times New Roman" w:cs="Times New Roman"/>
          <w:sz w:val="24"/>
          <w:szCs w:val="24"/>
        </w:rPr>
        <w:t>Le résultat de fonctionnement s’établissait à 82 372,07 au 1</w:t>
      </w:r>
      <w:r w:rsidRPr="00723CDA">
        <w:rPr>
          <w:rFonts w:ascii="Times New Roman" w:hAnsi="Times New Roman" w:cs="Times New Roman"/>
          <w:sz w:val="24"/>
          <w:szCs w:val="24"/>
          <w:vertAlign w:val="superscript"/>
        </w:rPr>
        <w:t>er</w:t>
      </w:r>
      <w:r>
        <w:rPr>
          <w:rFonts w:ascii="Times New Roman" w:hAnsi="Times New Roman" w:cs="Times New Roman"/>
          <w:sz w:val="24"/>
          <w:szCs w:val="24"/>
        </w:rPr>
        <w:t xml:space="preserve"> janvier 2024, après un résultat de – 10 541,21 euros, il s’établit désormais à 71 830,86 euros au 31 janvier 2024. Cette diminution s’explique par la volonté de limiter l’augmentation des cotisations sur l’année 2024 en ponctionnant une partie de l’excédent. </w:t>
      </w:r>
    </w:p>
    <w:p w14:paraId="60CBD552" w14:textId="77777777" w:rsidR="006409C6" w:rsidRPr="00D00E37" w:rsidRDefault="006409C6" w:rsidP="006409C6">
      <w:pPr>
        <w:pStyle w:val="Paragraphedeliste"/>
        <w:rPr>
          <w:rFonts w:ascii="Times New Roman" w:hAnsi="Times New Roman" w:cs="Times New Roman"/>
          <w:sz w:val="24"/>
          <w:szCs w:val="24"/>
        </w:rPr>
      </w:pPr>
    </w:p>
    <w:p w14:paraId="06C39FC2" w14:textId="77777777" w:rsidR="006409C6" w:rsidRPr="00286657" w:rsidRDefault="006409C6" w:rsidP="006409C6">
      <w:pPr>
        <w:pStyle w:val="Titre2"/>
        <w:numPr>
          <w:ilvl w:val="0"/>
          <w:numId w:val="2"/>
        </w:numPr>
        <w:ind w:left="720"/>
        <w:rPr>
          <w:rFonts w:ascii="Times" w:eastAsiaTheme="minorHAnsi" w:hAnsi="Times" w:cs="Times"/>
          <w:b/>
          <w:bCs/>
          <w:u w:val="single"/>
        </w:rPr>
      </w:pPr>
      <w:r w:rsidRPr="00286657">
        <w:rPr>
          <w:rFonts w:ascii="Times" w:eastAsiaTheme="minorHAnsi" w:hAnsi="Times" w:cs="Times"/>
          <w:b/>
          <w:bCs/>
          <w:u w:val="single"/>
        </w:rPr>
        <w:lastRenderedPageBreak/>
        <w:t>Dépenses d’investissement</w:t>
      </w:r>
    </w:p>
    <w:p w14:paraId="19D47759" w14:textId="77777777" w:rsidR="006409C6" w:rsidRDefault="006409C6" w:rsidP="006409C6"/>
    <w:tbl>
      <w:tblPr>
        <w:tblW w:w="14567" w:type="dxa"/>
        <w:tblInd w:w="-426" w:type="dxa"/>
        <w:tblCellMar>
          <w:left w:w="70" w:type="dxa"/>
          <w:right w:w="70" w:type="dxa"/>
        </w:tblCellMar>
        <w:tblLook w:val="04A0" w:firstRow="1" w:lastRow="0" w:firstColumn="1" w:lastColumn="0" w:noHBand="0" w:noVBand="1"/>
      </w:tblPr>
      <w:tblGrid>
        <w:gridCol w:w="2003"/>
        <w:gridCol w:w="4554"/>
        <w:gridCol w:w="2732"/>
        <w:gridCol w:w="1822"/>
        <w:gridCol w:w="1638"/>
        <w:gridCol w:w="1818"/>
      </w:tblGrid>
      <w:tr w:rsidR="006409C6" w:rsidRPr="00A6308C" w14:paraId="353EF8A5" w14:textId="77777777" w:rsidTr="009A457B">
        <w:trPr>
          <w:trHeight w:val="653"/>
        </w:trPr>
        <w:tc>
          <w:tcPr>
            <w:tcW w:w="200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F348B5" w14:textId="77777777" w:rsidR="006409C6" w:rsidRPr="00A6308C" w:rsidRDefault="006409C6" w:rsidP="009A457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Code fonction</w:t>
            </w:r>
          </w:p>
        </w:tc>
        <w:tc>
          <w:tcPr>
            <w:tcW w:w="4554" w:type="dxa"/>
            <w:tcBorders>
              <w:top w:val="single" w:sz="4" w:space="0" w:color="auto"/>
              <w:left w:val="nil"/>
              <w:bottom w:val="single" w:sz="4" w:space="0" w:color="auto"/>
              <w:right w:val="single" w:sz="4" w:space="0" w:color="auto"/>
            </w:tcBorders>
            <w:shd w:val="clear" w:color="000000" w:fill="D9D9D9"/>
            <w:vAlign w:val="center"/>
            <w:hideMark/>
          </w:tcPr>
          <w:p w14:paraId="3E390426" w14:textId="77777777" w:rsidR="006409C6" w:rsidRPr="00A6308C" w:rsidRDefault="006409C6" w:rsidP="009A457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COMPTE</w:t>
            </w:r>
          </w:p>
        </w:tc>
        <w:tc>
          <w:tcPr>
            <w:tcW w:w="2732" w:type="dxa"/>
            <w:tcBorders>
              <w:top w:val="single" w:sz="4" w:space="0" w:color="auto"/>
              <w:left w:val="nil"/>
              <w:bottom w:val="single" w:sz="4" w:space="0" w:color="auto"/>
              <w:right w:val="single" w:sz="4" w:space="0" w:color="auto"/>
            </w:tcBorders>
            <w:shd w:val="clear" w:color="000000" w:fill="D9D9D9"/>
            <w:vAlign w:val="center"/>
            <w:hideMark/>
          </w:tcPr>
          <w:p w14:paraId="2C60E8B8" w14:textId="77777777" w:rsidR="006409C6" w:rsidRPr="00A6308C" w:rsidRDefault="006409C6" w:rsidP="009A457B">
            <w:pPr>
              <w:spacing w:after="0" w:line="240" w:lineRule="auto"/>
              <w:jc w:val="center"/>
              <w:rPr>
                <w:rFonts w:ascii="Arial" w:eastAsia="Times New Roman" w:hAnsi="Arial" w:cs="Arial"/>
                <w:color w:val="000000"/>
                <w:sz w:val="20"/>
                <w:szCs w:val="20"/>
              </w:rPr>
            </w:pPr>
            <w:r w:rsidRPr="00A6308C">
              <w:rPr>
                <w:rFonts w:ascii="Arial" w:eastAsia="Times New Roman" w:hAnsi="Arial" w:cs="Arial"/>
                <w:color w:val="000000"/>
                <w:sz w:val="20"/>
                <w:szCs w:val="20"/>
              </w:rPr>
              <w:t>BP 2024</w:t>
            </w:r>
          </w:p>
        </w:tc>
        <w:tc>
          <w:tcPr>
            <w:tcW w:w="1822" w:type="dxa"/>
            <w:tcBorders>
              <w:top w:val="single" w:sz="4" w:space="0" w:color="auto"/>
              <w:left w:val="nil"/>
              <w:bottom w:val="single" w:sz="4" w:space="0" w:color="auto"/>
              <w:right w:val="single" w:sz="4" w:space="0" w:color="auto"/>
            </w:tcBorders>
            <w:shd w:val="clear" w:color="000000" w:fill="D9D9D9"/>
            <w:vAlign w:val="center"/>
            <w:hideMark/>
          </w:tcPr>
          <w:p w14:paraId="1CCC9630" w14:textId="77777777" w:rsidR="006409C6" w:rsidRPr="00A6308C" w:rsidRDefault="006409C6" w:rsidP="009A457B">
            <w:pPr>
              <w:spacing w:after="0" w:line="240" w:lineRule="auto"/>
              <w:jc w:val="center"/>
              <w:rPr>
                <w:rFonts w:ascii="Arial" w:eastAsia="Times New Roman" w:hAnsi="Arial" w:cs="Arial"/>
                <w:color w:val="000000"/>
                <w:sz w:val="20"/>
                <w:szCs w:val="20"/>
              </w:rPr>
            </w:pPr>
            <w:r w:rsidRPr="00A6308C">
              <w:rPr>
                <w:rFonts w:ascii="Arial" w:eastAsia="Times New Roman" w:hAnsi="Arial" w:cs="Arial"/>
                <w:color w:val="000000"/>
                <w:sz w:val="20"/>
                <w:szCs w:val="20"/>
              </w:rPr>
              <w:t>Total budget 2024</w:t>
            </w:r>
          </w:p>
        </w:tc>
        <w:tc>
          <w:tcPr>
            <w:tcW w:w="1638" w:type="dxa"/>
            <w:tcBorders>
              <w:top w:val="single" w:sz="4" w:space="0" w:color="auto"/>
              <w:left w:val="nil"/>
              <w:bottom w:val="single" w:sz="4" w:space="0" w:color="auto"/>
              <w:right w:val="single" w:sz="4" w:space="0" w:color="auto"/>
            </w:tcBorders>
            <w:shd w:val="clear" w:color="000000" w:fill="D9D9D9"/>
            <w:vAlign w:val="center"/>
            <w:hideMark/>
          </w:tcPr>
          <w:p w14:paraId="6FAA83E1" w14:textId="77777777" w:rsidR="006409C6" w:rsidRPr="00A6308C" w:rsidRDefault="006409C6" w:rsidP="009A457B">
            <w:pPr>
              <w:spacing w:after="0" w:line="240" w:lineRule="auto"/>
              <w:jc w:val="center"/>
              <w:rPr>
                <w:rFonts w:ascii="Arial" w:eastAsia="Times New Roman" w:hAnsi="Arial" w:cs="Arial"/>
                <w:color w:val="000000"/>
                <w:sz w:val="20"/>
                <w:szCs w:val="20"/>
              </w:rPr>
            </w:pPr>
            <w:r w:rsidRPr="00A6308C">
              <w:rPr>
                <w:rFonts w:ascii="Arial" w:eastAsia="Times New Roman" w:hAnsi="Arial" w:cs="Arial"/>
                <w:color w:val="000000"/>
                <w:sz w:val="20"/>
                <w:szCs w:val="20"/>
              </w:rPr>
              <w:t>Total réalisé</w:t>
            </w:r>
            <w:r>
              <w:rPr>
                <w:rFonts w:ascii="Arial" w:eastAsia="Times New Roman" w:hAnsi="Arial" w:cs="Arial"/>
                <w:color w:val="000000"/>
                <w:sz w:val="20"/>
                <w:szCs w:val="20"/>
              </w:rPr>
              <w:t xml:space="preserve"> 2024</w:t>
            </w:r>
          </w:p>
        </w:tc>
        <w:tc>
          <w:tcPr>
            <w:tcW w:w="1818" w:type="dxa"/>
            <w:tcBorders>
              <w:top w:val="single" w:sz="4" w:space="0" w:color="auto"/>
              <w:left w:val="nil"/>
              <w:bottom w:val="single" w:sz="4" w:space="0" w:color="auto"/>
              <w:right w:val="single" w:sz="4" w:space="0" w:color="auto"/>
            </w:tcBorders>
            <w:shd w:val="clear" w:color="000000" w:fill="D9D9D9"/>
            <w:vAlign w:val="center"/>
            <w:hideMark/>
          </w:tcPr>
          <w:p w14:paraId="7B9243C6" w14:textId="77777777" w:rsidR="006409C6" w:rsidRPr="00A6308C" w:rsidRDefault="006409C6" w:rsidP="009A457B">
            <w:pPr>
              <w:spacing w:after="0" w:line="240" w:lineRule="auto"/>
              <w:jc w:val="center"/>
              <w:rPr>
                <w:rFonts w:ascii="Arial" w:eastAsia="Times New Roman" w:hAnsi="Arial" w:cs="Arial"/>
                <w:color w:val="000000"/>
                <w:sz w:val="20"/>
                <w:szCs w:val="20"/>
              </w:rPr>
            </w:pPr>
            <w:r w:rsidRPr="00A6308C">
              <w:rPr>
                <w:rFonts w:ascii="Arial" w:eastAsia="Times New Roman" w:hAnsi="Arial" w:cs="Arial"/>
                <w:color w:val="000000"/>
                <w:sz w:val="20"/>
                <w:szCs w:val="20"/>
              </w:rPr>
              <w:t>Proposition budget 2025</w:t>
            </w:r>
          </w:p>
        </w:tc>
      </w:tr>
      <w:tr w:rsidR="006409C6" w:rsidRPr="00A6308C" w14:paraId="1B97FBFD" w14:textId="77777777" w:rsidTr="009A457B">
        <w:trPr>
          <w:trHeight w:val="319"/>
        </w:trPr>
        <w:tc>
          <w:tcPr>
            <w:tcW w:w="2003" w:type="dxa"/>
            <w:tcBorders>
              <w:top w:val="nil"/>
              <w:left w:val="single" w:sz="4" w:space="0" w:color="auto"/>
              <w:bottom w:val="single" w:sz="4" w:space="0" w:color="auto"/>
              <w:right w:val="single" w:sz="4" w:space="0" w:color="auto"/>
            </w:tcBorders>
            <w:shd w:val="clear" w:color="000000" w:fill="FFFFFF"/>
            <w:noWrap/>
            <w:vAlign w:val="center"/>
            <w:hideMark/>
          </w:tcPr>
          <w:p w14:paraId="4BD59334" w14:textId="77777777" w:rsidR="006409C6" w:rsidRPr="00A6308C" w:rsidRDefault="006409C6" w:rsidP="009A457B">
            <w:pPr>
              <w:spacing w:after="0" w:line="240" w:lineRule="auto"/>
              <w:jc w:val="center"/>
              <w:rPr>
                <w:rFonts w:ascii="Arial" w:eastAsia="Times New Roman" w:hAnsi="Arial" w:cs="Arial"/>
                <w:color w:val="000000"/>
                <w:sz w:val="20"/>
                <w:szCs w:val="20"/>
              </w:rPr>
            </w:pPr>
            <w:r w:rsidRPr="00A6308C">
              <w:rPr>
                <w:rFonts w:ascii="Arial" w:eastAsia="Times New Roman" w:hAnsi="Arial" w:cs="Arial"/>
                <w:color w:val="000000"/>
                <w:sz w:val="20"/>
                <w:szCs w:val="20"/>
              </w:rPr>
              <w:t>13912</w:t>
            </w:r>
          </w:p>
        </w:tc>
        <w:tc>
          <w:tcPr>
            <w:tcW w:w="4554" w:type="dxa"/>
            <w:tcBorders>
              <w:top w:val="nil"/>
              <w:left w:val="nil"/>
              <w:bottom w:val="single" w:sz="4" w:space="0" w:color="auto"/>
              <w:right w:val="single" w:sz="4" w:space="0" w:color="auto"/>
            </w:tcBorders>
            <w:shd w:val="clear" w:color="000000" w:fill="FFFFFF"/>
            <w:noWrap/>
            <w:vAlign w:val="center"/>
            <w:hideMark/>
          </w:tcPr>
          <w:p w14:paraId="5B7D13BF" w14:textId="77777777" w:rsidR="006409C6" w:rsidRPr="00A6308C" w:rsidRDefault="006409C6" w:rsidP="009A457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ETALEMENT DES SUBS </w:t>
            </w:r>
            <w:r w:rsidRPr="00A6308C">
              <w:rPr>
                <w:rFonts w:ascii="Arial" w:eastAsia="Times New Roman" w:hAnsi="Arial" w:cs="Arial"/>
                <w:color w:val="000000"/>
                <w:sz w:val="20"/>
                <w:szCs w:val="20"/>
              </w:rPr>
              <w:t>REGIONS</w:t>
            </w:r>
          </w:p>
        </w:tc>
        <w:tc>
          <w:tcPr>
            <w:tcW w:w="2732" w:type="dxa"/>
            <w:tcBorders>
              <w:top w:val="nil"/>
              <w:left w:val="nil"/>
              <w:bottom w:val="single" w:sz="4" w:space="0" w:color="auto"/>
              <w:right w:val="single" w:sz="4" w:space="0" w:color="auto"/>
            </w:tcBorders>
            <w:shd w:val="clear" w:color="000000" w:fill="FFFFFF"/>
            <w:noWrap/>
            <w:vAlign w:val="center"/>
            <w:hideMark/>
          </w:tcPr>
          <w:p w14:paraId="686B68C4" w14:textId="77777777" w:rsidR="006409C6" w:rsidRPr="00A6308C" w:rsidRDefault="006409C6" w:rsidP="009A457B">
            <w:pPr>
              <w:spacing w:after="0" w:line="240" w:lineRule="auto"/>
              <w:jc w:val="center"/>
              <w:rPr>
                <w:rFonts w:ascii="Arial" w:eastAsia="Times New Roman" w:hAnsi="Arial" w:cs="Arial"/>
                <w:color w:val="000000"/>
                <w:sz w:val="20"/>
                <w:szCs w:val="20"/>
              </w:rPr>
            </w:pPr>
            <w:r w:rsidRPr="00A6308C">
              <w:rPr>
                <w:rFonts w:ascii="Arial" w:eastAsia="Times New Roman" w:hAnsi="Arial" w:cs="Arial"/>
                <w:color w:val="000000"/>
                <w:sz w:val="20"/>
                <w:szCs w:val="20"/>
              </w:rPr>
              <w:t>3 000,00</w:t>
            </w:r>
          </w:p>
        </w:tc>
        <w:tc>
          <w:tcPr>
            <w:tcW w:w="1822" w:type="dxa"/>
            <w:tcBorders>
              <w:top w:val="nil"/>
              <w:left w:val="nil"/>
              <w:bottom w:val="single" w:sz="4" w:space="0" w:color="auto"/>
              <w:right w:val="single" w:sz="4" w:space="0" w:color="auto"/>
            </w:tcBorders>
            <w:shd w:val="clear" w:color="000000" w:fill="FFFFFF"/>
            <w:noWrap/>
            <w:vAlign w:val="center"/>
            <w:hideMark/>
          </w:tcPr>
          <w:p w14:paraId="7B9F13FF" w14:textId="77777777" w:rsidR="006409C6" w:rsidRPr="00A6308C" w:rsidRDefault="006409C6" w:rsidP="009A457B">
            <w:pPr>
              <w:spacing w:after="0" w:line="240" w:lineRule="auto"/>
              <w:jc w:val="center"/>
              <w:rPr>
                <w:rFonts w:ascii="Arial" w:eastAsia="Times New Roman" w:hAnsi="Arial" w:cs="Arial"/>
                <w:color w:val="000000"/>
                <w:sz w:val="20"/>
                <w:szCs w:val="20"/>
              </w:rPr>
            </w:pPr>
            <w:r w:rsidRPr="00A6308C">
              <w:rPr>
                <w:rFonts w:ascii="Arial" w:eastAsia="Times New Roman" w:hAnsi="Arial" w:cs="Arial"/>
                <w:color w:val="000000"/>
                <w:sz w:val="20"/>
                <w:szCs w:val="20"/>
              </w:rPr>
              <w:t>3 000,00</w:t>
            </w:r>
          </w:p>
        </w:tc>
        <w:tc>
          <w:tcPr>
            <w:tcW w:w="1638" w:type="dxa"/>
            <w:tcBorders>
              <w:top w:val="nil"/>
              <w:left w:val="nil"/>
              <w:bottom w:val="single" w:sz="4" w:space="0" w:color="auto"/>
              <w:right w:val="single" w:sz="4" w:space="0" w:color="auto"/>
            </w:tcBorders>
            <w:shd w:val="clear" w:color="000000" w:fill="FFFFFF"/>
            <w:noWrap/>
            <w:vAlign w:val="center"/>
            <w:hideMark/>
          </w:tcPr>
          <w:p w14:paraId="20CF13F3" w14:textId="77777777" w:rsidR="006409C6" w:rsidRPr="00A6308C" w:rsidRDefault="006409C6" w:rsidP="009A457B">
            <w:pPr>
              <w:spacing w:after="0" w:line="240" w:lineRule="auto"/>
              <w:jc w:val="center"/>
              <w:rPr>
                <w:rFonts w:ascii="Arial" w:eastAsia="Times New Roman" w:hAnsi="Arial" w:cs="Arial"/>
                <w:color w:val="000000"/>
                <w:sz w:val="20"/>
                <w:szCs w:val="20"/>
              </w:rPr>
            </w:pPr>
            <w:r w:rsidRPr="00A6308C">
              <w:rPr>
                <w:rFonts w:ascii="Arial" w:eastAsia="Times New Roman" w:hAnsi="Arial" w:cs="Arial"/>
                <w:color w:val="000000"/>
                <w:sz w:val="20"/>
                <w:szCs w:val="20"/>
              </w:rPr>
              <w:t>3 000,00</w:t>
            </w:r>
          </w:p>
        </w:tc>
        <w:tc>
          <w:tcPr>
            <w:tcW w:w="1818" w:type="dxa"/>
            <w:tcBorders>
              <w:top w:val="nil"/>
              <w:left w:val="nil"/>
              <w:bottom w:val="single" w:sz="4" w:space="0" w:color="auto"/>
              <w:right w:val="single" w:sz="4" w:space="0" w:color="auto"/>
            </w:tcBorders>
            <w:shd w:val="clear" w:color="000000" w:fill="FFFFFF"/>
            <w:noWrap/>
            <w:vAlign w:val="center"/>
            <w:hideMark/>
          </w:tcPr>
          <w:p w14:paraId="433D23EC" w14:textId="77777777" w:rsidR="006409C6" w:rsidRPr="00A6308C" w:rsidRDefault="006409C6" w:rsidP="009A457B">
            <w:pPr>
              <w:spacing w:after="0" w:line="240" w:lineRule="auto"/>
              <w:jc w:val="center"/>
              <w:rPr>
                <w:rFonts w:ascii="Arial" w:eastAsia="Times New Roman" w:hAnsi="Arial" w:cs="Arial"/>
                <w:color w:val="000000"/>
                <w:sz w:val="20"/>
                <w:szCs w:val="20"/>
              </w:rPr>
            </w:pPr>
            <w:r w:rsidRPr="00A6308C">
              <w:rPr>
                <w:rFonts w:ascii="Arial" w:eastAsia="Times New Roman" w:hAnsi="Arial" w:cs="Arial"/>
                <w:color w:val="000000"/>
                <w:sz w:val="20"/>
                <w:szCs w:val="20"/>
              </w:rPr>
              <w:t xml:space="preserve">3 000,00 </w:t>
            </w:r>
          </w:p>
        </w:tc>
      </w:tr>
      <w:tr w:rsidR="006409C6" w:rsidRPr="00A6308C" w14:paraId="507C05B3" w14:textId="77777777" w:rsidTr="009A457B">
        <w:trPr>
          <w:trHeight w:val="319"/>
        </w:trPr>
        <w:tc>
          <w:tcPr>
            <w:tcW w:w="2003" w:type="dxa"/>
            <w:tcBorders>
              <w:top w:val="nil"/>
              <w:left w:val="single" w:sz="4" w:space="0" w:color="auto"/>
              <w:bottom w:val="single" w:sz="4" w:space="0" w:color="auto"/>
              <w:right w:val="single" w:sz="4" w:space="0" w:color="auto"/>
            </w:tcBorders>
            <w:shd w:val="clear" w:color="000000" w:fill="FFFFFF"/>
            <w:noWrap/>
            <w:vAlign w:val="center"/>
            <w:hideMark/>
          </w:tcPr>
          <w:p w14:paraId="30AAD7ED" w14:textId="77777777" w:rsidR="006409C6" w:rsidRPr="00A6308C" w:rsidRDefault="006409C6" w:rsidP="009A457B">
            <w:pPr>
              <w:spacing w:after="0" w:line="240" w:lineRule="auto"/>
              <w:jc w:val="center"/>
              <w:rPr>
                <w:rFonts w:ascii="Arial" w:eastAsia="Times New Roman" w:hAnsi="Arial" w:cs="Arial"/>
                <w:color w:val="000000"/>
                <w:sz w:val="20"/>
                <w:szCs w:val="20"/>
              </w:rPr>
            </w:pPr>
            <w:r w:rsidRPr="00A6308C">
              <w:rPr>
                <w:rFonts w:ascii="Arial" w:eastAsia="Times New Roman" w:hAnsi="Arial" w:cs="Arial"/>
                <w:color w:val="000000"/>
                <w:sz w:val="20"/>
                <w:szCs w:val="20"/>
              </w:rPr>
              <w:t>13913</w:t>
            </w:r>
          </w:p>
        </w:tc>
        <w:tc>
          <w:tcPr>
            <w:tcW w:w="4554" w:type="dxa"/>
            <w:tcBorders>
              <w:top w:val="nil"/>
              <w:left w:val="nil"/>
              <w:bottom w:val="single" w:sz="4" w:space="0" w:color="auto"/>
              <w:right w:val="single" w:sz="4" w:space="0" w:color="auto"/>
            </w:tcBorders>
            <w:shd w:val="clear" w:color="000000" w:fill="FFFFFF"/>
            <w:noWrap/>
            <w:vAlign w:val="center"/>
            <w:hideMark/>
          </w:tcPr>
          <w:p w14:paraId="252A6FB9" w14:textId="77777777" w:rsidR="006409C6" w:rsidRPr="00A6308C" w:rsidRDefault="006409C6" w:rsidP="009A457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ETALEMENT DES SUBS </w:t>
            </w:r>
            <w:r w:rsidRPr="00A6308C">
              <w:rPr>
                <w:rFonts w:ascii="Arial" w:eastAsia="Times New Roman" w:hAnsi="Arial" w:cs="Arial"/>
                <w:color w:val="000000"/>
                <w:sz w:val="20"/>
                <w:szCs w:val="20"/>
              </w:rPr>
              <w:t>DEPARTEMENTS</w:t>
            </w:r>
          </w:p>
        </w:tc>
        <w:tc>
          <w:tcPr>
            <w:tcW w:w="2732" w:type="dxa"/>
            <w:tcBorders>
              <w:top w:val="nil"/>
              <w:left w:val="nil"/>
              <w:bottom w:val="single" w:sz="4" w:space="0" w:color="auto"/>
              <w:right w:val="single" w:sz="4" w:space="0" w:color="auto"/>
            </w:tcBorders>
            <w:shd w:val="clear" w:color="000000" w:fill="FFFFFF"/>
            <w:noWrap/>
            <w:vAlign w:val="center"/>
            <w:hideMark/>
          </w:tcPr>
          <w:p w14:paraId="680CD0C4" w14:textId="77777777" w:rsidR="006409C6" w:rsidRPr="00A6308C" w:rsidRDefault="006409C6" w:rsidP="009A457B">
            <w:pPr>
              <w:spacing w:after="0" w:line="240" w:lineRule="auto"/>
              <w:jc w:val="center"/>
              <w:rPr>
                <w:rFonts w:ascii="Arial" w:eastAsia="Times New Roman" w:hAnsi="Arial" w:cs="Arial"/>
                <w:color w:val="000000"/>
                <w:sz w:val="20"/>
                <w:szCs w:val="20"/>
              </w:rPr>
            </w:pPr>
            <w:r w:rsidRPr="00A6308C">
              <w:rPr>
                <w:rFonts w:ascii="Arial" w:eastAsia="Times New Roman" w:hAnsi="Arial" w:cs="Arial"/>
                <w:color w:val="000000"/>
                <w:sz w:val="20"/>
                <w:szCs w:val="20"/>
              </w:rPr>
              <w:t>3 300,00</w:t>
            </w:r>
          </w:p>
        </w:tc>
        <w:tc>
          <w:tcPr>
            <w:tcW w:w="1822" w:type="dxa"/>
            <w:tcBorders>
              <w:top w:val="nil"/>
              <w:left w:val="nil"/>
              <w:bottom w:val="single" w:sz="4" w:space="0" w:color="auto"/>
              <w:right w:val="single" w:sz="4" w:space="0" w:color="auto"/>
            </w:tcBorders>
            <w:shd w:val="clear" w:color="000000" w:fill="FFFFFF"/>
            <w:noWrap/>
            <w:vAlign w:val="center"/>
            <w:hideMark/>
          </w:tcPr>
          <w:p w14:paraId="4EB1D0C2" w14:textId="77777777" w:rsidR="006409C6" w:rsidRPr="00A6308C" w:rsidRDefault="006409C6" w:rsidP="009A457B">
            <w:pPr>
              <w:spacing w:after="0" w:line="240" w:lineRule="auto"/>
              <w:jc w:val="center"/>
              <w:rPr>
                <w:rFonts w:ascii="Arial" w:eastAsia="Times New Roman" w:hAnsi="Arial" w:cs="Arial"/>
                <w:color w:val="000000"/>
                <w:sz w:val="20"/>
                <w:szCs w:val="20"/>
              </w:rPr>
            </w:pPr>
            <w:r w:rsidRPr="00A6308C">
              <w:rPr>
                <w:rFonts w:ascii="Arial" w:eastAsia="Times New Roman" w:hAnsi="Arial" w:cs="Arial"/>
                <w:color w:val="000000"/>
                <w:sz w:val="20"/>
                <w:szCs w:val="20"/>
              </w:rPr>
              <w:t>3 300,00</w:t>
            </w:r>
          </w:p>
        </w:tc>
        <w:tc>
          <w:tcPr>
            <w:tcW w:w="1638" w:type="dxa"/>
            <w:tcBorders>
              <w:top w:val="nil"/>
              <w:left w:val="nil"/>
              <w:bottom w:val="single" w:sz="4" w:space="0" w:color="auto"/>
              <w:right w:val="single" w:sz="4" w:space="0" w:color="auto"/>
            </w:tcBorders>
            <w:shd w:val="clear" w:color="000000" w:fill="FFFFFF"/>
            <w:noWrap/>
            <w:vAlign w:val="center"/>
            <w:hideMark/>
          </w:tcPr>
          <w:p w14:paraId="16A28F5A" w14:textId="77777777" w:rsidR="006409C6" w:rsidRPr="00A6308C" w:rsidRDefault="006409C6" w:rsidP="009A457B">
            <w:pPr>
              <w:spacing w:after="0" w:line="240" w:lineRule="auto"/>
              <w:jc w:val="center"/>
              <w:rPr>
                <w:rFonts w:ascii="Arial" w:eastAsia="Times New Roman" w:hAnsi="Arial" w:cs="Arial"/>
                <w:color w:val="000000"/>
                <w:sz w:val="20"/>
                <w:szCs w:val="20"/>
              </w:rPr>
            </w:pPr>
            <w:r w:rsidRPr="00A6308C">
              <w:rPr>
                <w:rFonts w:ascii="Arial" w:eastAsia="Times New Roman" w:hAnsi="Arial" w:cs="Arial"/>
                <w:color w:val="000000"/>
                <w:sz w:val="20"/>
                <w:szCs w:val="20"/>
              </w:rPr>
              <w:t>3 236,70</w:t>
            </w:r>
          </w:p>
        </w:tc>
        <w:tc>
          <w:tcPr>
            <w:tcW w:w="1818" w:type="dxa"/>
            <w:tcBorders>
              <w:top w:val="nil"/>
              <w:left w:val="nil"/>
              <w:bottom w:val="single" w:sz="4" w:space="0" w:color="auto"/>
              <w:right w:val="single" w:sz="4" w:space="0" w:color="auto"/>
            </w:tcBorders>
            <w:shd w:val="clear" w:color="000000" w:fill="FFFFFF"/>
            <w:noWrap/>
            <w:vAlign w:val="center"/>
            <w:hideMark/>
          </w:tcPr>
          <w:p w14:paraId="7562203F" w14:textId="77777777" w:rsidR="006409C6" w:rsidRPr="00A6308C" w:rsidRDefault="006409C6" w:rsidP="009A457B">
            <w:pPr>
              <w:spacing w:after="0" w:line="240" w:lineRule="auto"/>
              <w:jc w:val="center"/>
              <w:rPr>
                <w:rFonts w:ascii="Arial" w:eastAsia="Times New Roman" w:hAnsi="Arial" w:cs="Arial"/>
                <w:color w:val="000000"/>
                <w:sz w:val="20"/>
                <w:szCs w:val="20"/>
              </w:rPr>
            </w:pPr>
            <w:r w:rsidRPr="00A6308C">
              <w:rPr>
                <w:rFonts w:ascii="Arial" w:eastAsia="Times New Roman" w:hAnsi="Arial" w:cs="Arial"/>
                <w:color w:val="000000"/>
                <w:sz w:val="20"/>
                <w:szCs w:val="20"/>
              </w:rPr>
              <w:t xml:space="preserve">3 500,00 </w:t>
            </w:r>
          </w:p>
        </w:tc>
      </w:tr>
      <w:tr w:rsidR="006409C6" w:rsidRPr="00A6308C" w14:paraId="61A9C149" w14:textId="77777777" w:rsidTr="009A457B">
        <w:trPr>
          <w:trHeight w:val="319"/>
        </w:trPr>
        <w:tc>
          <w:tcPr>
            <w:tcW w:w="2003" w:type="dxa"/>
            <w:tcBorders>
              <w:top w:val="nil"/>
              <w:left w:val="single" w:sz="4" w:space="0" w:color="auto"/>
              <w:bottom w:val="single" w:sz="4" w:space="0" w:color="auto"/>
              <w:right w:val="single" w:sz="4" w:space="0" w:color="auto"/>
            </w:tcBorders>
            <w:shd w:val="clear" w:color="000000" w:fill="FFFFFF"/>
            <w:noWrap/>
            <w:vAlign w:val="center"/>
            <w:hideMark/>
          </w:tcPr>
          <w:p w14:paraId="40F384C3" w14:textId="77777777" w:rsidR="006409C6" w:rsidRPr="00A6308C" w:rsidRDefault="006409C6" w:rsidP="009A457B">
            <w:pPr>
              <w:spacing w:after="0" w:line="240" w:lineRule="auto"/>
              <w:jc w:val="center"/>
              <w:rPr>
                <w:rFonts w:ascii="Arial" w:eastAsia="Times New Roman" w:hAnsi="Arial" w:cs="Arial"/>
                <w:color w:val="000000"/>
                <w:sz w:val="20"/>
                <w:szCs w:val="20"/>
              </w:rPr>
            </w:pPr>
            <w:r w:rsidRPr="00A6308C">
              <w:rPr>
                <w:rFonts w:ascii="Arial" w:eastAsia="Times New Roman" w:hAnsi="Arial" w:cs="Arial"/>
                <w:color w:val="000000"/>
                <w:sz w:val="20"/>
                <w:szCs w:val="20"/>
              </w:rPr>
              <w:t>13918</w:t>
            </w:r>
          </w:p>
        </w:tc>
        <w:tc>
          <w:tcPr>
            <w:tcW w:w="4554" w:type="dxa"/>
            <w:tcBorders>
              <w:top w:val="nil"/>
              <w:left w:val="nil"/>
              <w:bottom w:val="single" w:sz="4" w:space="0" w:color="auto"/>
              <w:right w:val="single" w:sz="4" w:space="0" w:color="auto"/>
            </w:tcBorders>
            <w:shd w:val="clear" w:color="000000" w:fill="FFFFFF"/>
            <w:noWrap/>
            <w:vAlign w:val="center"/>
            <w:hideMark/>
          </w:tcPr>
          <w:p w14:paraId="5938F36C" w14:textId="77777777" w:rsidR="006409C6" w:rsidRPr="00A6308C" w:rsidRDefault="006409C6" w:rsidP="009A457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ETALEMENT DES SUBS </w:t>
            </w:r>
            <w:r w:rsidRPr="00A6308C">
              <w:rPr>
                <w:rFonts w:ascii="Arial" w:eastAsia="Times New Roman" w:hAnsi="Arial" w:cs="Arial"/>
                <w:color w:val="000000"/>
                <w:sz w:val="20"/>
                <w:szCs w:val="20"/>
              </w:rPr>
              <w:t>AUTRES</w:t>
            </w:r>
          </w:p>
        </w:tc>
        <w:tc>
          <w:tcPr>
            <w:tcW w:w="2732" w:type="dxa"/>
            <w:tcBorders>
              <w:top w:val="nil"/>
              <w:left w:val="nil"/>
              <w:bottom w:val="single" w:sz="4" w:space="0" w:color="auto"/>
              <w:right w:val="single" w:sz="4" w:space="0" w:color="auto"/>
            </w:tcBorders>
            <w:shd w:val="clear" w:color="000000" w:fill="FFFFFF"/>
            <w:noWrap/>
            <w:vAlign w:val="center"/>
            <w:hideMark/>
          </w:tcPr>
          <w:p w14:paraId="78DF541E" w14:textId="77777777" w:rsidR="006409C6" w:rsidRPr="00A6308C" w:rsidRDefault="006409C6" w:rsidP="009A457B">
            <w:pPr>
              <w:spacing w:after="0" w:line="240" w:lineRule="auto"/>
              <w:jc w:val="center"/>
              <w:rPr>
                <w:rFonts w:ascii="Arial" w:eastAsia="Times New Roman" w:hAnsi="Arial" w:cs="Arial"/>
                <w:color w:val="000000"/>
                <w:sz w:val="20"/>
                <w:szCs w:val="20"/>
              </w:rPr>
            </w:pPr>
            <w:r w:rsidRPr="00A6308C">
              <w:rPr>
                <w:rFonts w:ascii="Arial" w:eastAsia="Times New Roman" w:hAnsi="Arial" w:cs="Arial"/>
                <w:color w:val="000000"/>
                <w:sz w:val="20"/>
                <w:szCs w:val="20"/>
              </w:rPr>
              <w:t>2 400,00</w:t>
            </w:r>
          </w:p>
        </w:tc>
        <w:tc>
          <w:tcPr>
            <w:tcW w:w="1822" w:type="dxa"/>
            <w:tcBorders>
              <w:top w:val="nil"/>
              <w:left w:val="nil"/>
              <w:bottom w:val="single" w:sz="4" w:space="0" w:color="auto"/>
              <w:right w:val="single" w:sz="4" w:space="0" w:color="auto"/>
            </w:tcBorders>
            <w:shd w:val="clear" w:color="000000" w:fill="FFFFFF"/>
            <w:noWrap/>
            <w:vAlign w:val="center"/>
            <w:hideMark/>
          </w:tcPr>
          <w:p w14:paraId="2AAAF398" w14:textId="77777777" w:rsidR="006409C6" w:rsidRPr="00A6308C" w:rsidRDefault="006409C6" w:rsidP="009A457B">
            <w:pPr>
              <w:spacing w:after="0" w:line="240" w:lineRule="auto"/>
              <w:jc w:val="center"/>
              <w:rPr>
                <w:rFonts w:ascii="Arial" w:eastAsia="Times New Roman" w:hAnsi="Arial" w:cs="Arial"/>
                <w:color w:val="000000"/>
                <w:sz w:val="20"/>
                <w:szCs w:val="20"/>
              </w:rPr>
            </w:pPr>
            <w:r w:rsidRPr="00A6308C">
              <w:rPr>
                <w:rFonts w:ascii="Arial" w:eastAsia="Times New Roman" w:hAnsi="Arial" w:cs="Arial"/>
                <w:color w:val="000000"/>
                <w:sz w:val="20"/>
                <w:szCs w:val="20"/>
              </w:rPr>
              <w:t>2 400,00</w:t>
            </w:r>
          </w:p>
        </w:tc>
        <w:tc>
          <w:tcPr>
            <w:tcW w:w="1638" w:type="dxa"/>
            <w:tcBorders>
              <w:top w:val="nil"/>
              <w:left w:val="nil"/>
              <w:bottom w:val="single" w:sz="4" w:space="0" w:color="auto"/>
              <w:right w:val="single" w:sz="4" w:space="0" w:color="auto"/>
            </w:tcBorders>
            <w:shd w:val="clear" w:color="000000" w:fill="FFFFFF"/>
            <w:noWrap/>
            <w:vAlign w:val="center"/>
            <w:hideMark/>
          </w:tcPr>
          <w:p w14:paraId="7B4FC8E2" w14:textId="77777777" w:rsidR="006409C6" w:rsidRPr="00A6308C" w:rsidRDefault="006409C6" w:rsidP="009A457B">
            <w:pPr>
              <w:spacing w:after="0" w:line="240" w:lineRule="auto"/>
              <w:jc w:val="center"/>
              <w:rPr>
                <w:rFonts w:ascii="Arial" w:eastAsia="Times New Roman" w:hAnsi="Arial" w:cs="Arial"/>
                <w:color w:val="000000"/>
                <w:sz w:val="20"/>
                <w:szCs w:val="20"/>
              </w:rPr>
            </w:pPr>
            <w:r w:rsidRPr="00A6308C">
              <w:rPr>
                <w:rFonts w:ascii="Arial" w:eastAsia="Times New Roman" w:hAnsi="Arial" w:cs="Arial"/>
                <w:color w:val="000000"/>
                <w:sz w:val="20"/>
                <w:szCs w:val="20"/>
              </w:rPr>
              <w:t>2 400,00</w:t>
            </w:r>
          </w:p>
        </w:tc>
        <w:tc>
          <w:tcPr>
            <w:tcW w:w="1818" w:type="dxa"/>
            <w:tcBorders>
              <w:top w:val="nil"/>
              <w:left w:val="nil"/>
              <w:bottom w:val="single" w:sz="4" w:space="0" w:color="auto"/>
              <w:right w:val="single" w:sz="4" w:space="0" w:color="auto"/>
            </w:tcBorders>
            <w:shd w:val="clear" w:color="000000" w:fill="FFFFFF"/>
            <w:noWrap/>
            <w:vAlign w:val="center"/>
            <w:hideMark/>
          </w:tcPr>
          <w:p w14:paraId="3EDA8EEC" w14:textId="77777777" w:rsidR="006409C6" w:rsidRPr="00A6308C" w:rsidRDefault="006409C6" w:rsidP="009A457B">
            <w:pPr>
              <w:spacing w:after="0" w:line="240" w:lineRule="auto"/>
              <w:jc w:val="center"/>
              <w:rPr>
                <w:rFonts w:ascii="Arial" w:eastAsia="Times New Roman" w:hAnsi="Arial" w:cs="Arial"/>
                <w:color w:val="000000"/>
                <w:sz w:val="20"/>
                <w:szCs w:val="20"/>
              </w:rPr>
            </w:pPr>
            <w:r w:rsidRPr="00A6308C">
              <w:rPr>
                <w:rFonts w:ascii="Arial" w:eastAsia="Times New Roman" w:hAnsi="Arial" w:cs="Arial"/>
                <w:color w:val="000000"/>
                <w:sz w:val="20"/>
                <w:szCs w:val="20"/>
              </w:rPr>
              <w:t>-   €</w:t>
            </w:r>
          </w:p>
        </w:tc>
      </w:tr>
      <w:tr w:rsidR="006409C6" w:rsidRPr="00A6308C" w14:paraId="01C3A014" w14:textId="77777777" w:rsidTr="009A457B">
        <w:trPr>
          <w:trHeight w:val="319"/>
        </w:trPr>
        <w:tc>
          <w:tcPr>
            <w:tcW w:w="2003" w:type="dxa"/>
            <w:tcBorders>
              <w:top w:val="nil"/>
              <w:left w:val="single" w:sz="4" w:space="0" w:color="auto"/>
              <w:bottom w:val="single" w:sz="4" w:space="0" w:color="auto"/>
              <w:right w:val="single" w:sz="4" w:space="0" w:color="auto"/>
            </w:tcBorders>
            <w:shd w:val="clear" w:color="000000" w:fill="FFFFFF"/>
            <w:noWrap/>
            <w:vAlign w:val="center"/>
            <w:hideMark/>
          </w:tcPr>
          <w:p w14:paraId="4868E749" w14:textId="77777777" w:rsidR="006409C6" w:rsidRPr="00A6308C" w:rsidRDefault="006409C6" w:rsidP="009A457B">
            <w:pPr>
              <w:spacing w:after="0" w:line="240" w:lineRule="auto"/>
              <w:jc w:val="center"/>
              <w:rPr>
                <w:rFonts w:ascii="Arial" w:eastAsia="Times New Roman" w:hAnsi="Arial" w:cs="Arial"/>
                <w:color w:val="000000"/>
                <w:sz w:val="20"/>
                <w:szCs w:val="20"/>
              </w:rPr>
            </w:pPr>
            <w:r w:rsidRPr="00A6308C">
              <w:rPr>
                <w:rFonts w:ascii="Arial" w:eastAsia="Times New Roman" w:hAnsi="Arial" w:cs="Arial"/>
                <w:color w:val="000000"/>
                <w:sz w:val="20"/>
                <w:szCs w:val="20"/>
              </w:rPr>
              <w:t>2188</w:t>
            </w:r>
          </w:p>
        </w:tc>
        <w:tc>
          <w:tcPr>
            <w:tcW w:w="4554" w:type="dxa"/>
            <w:tcBorders>
              <w:top w:val="nil"/>
              <w:left w:val="nil"/>
              <w:bottom w:val="single" w:sz="4" w:space="0" w:color="auto"/>
              <w:right w:val="single" w:sz="4" w:space="0" w:color="auto"/>
            </w:tcBorders>
            <w:shd w:val="clear" w:color="000000" w:fill="FFFFFF"/>
            <w:noWrap/>
            <w:vAlign w:val="center"/>
            <w:hideMark/>
          </w:tcPr>
          <w:p w14:paraId="7B7DA638" w14:textId="77777777" w:rsidR="006409C6" w:rsidRPr="00A6308C" w:rsidRDefault="006409C6" w:rsidP="009A457B">
            <w:pPr>
              <w:spacing w:after="0" w:line="240" w:lineRule="auto"/>
              <w:jc w:val="center"/>
              <w:rPr>
                <w:rFonts w:ascii="Arial" w:eastAsia="Times New Roman" w:hAnsi="Arial" w:cs="Arial"/>
                <w:color w:val="000000"/>
                <w:sz w:val="20"/>
                <w:szCs w:val="20"/>
              </w:rPr>
            </w:pPr>
            <w:r w:rsidRPr="00A6308C">
              <w:rPr>
                <w:rFonts w:ascii="Arial" w:eastAsia="Times New Roman" w:hAnsi="Arial" w:cs="Arial"/>
                <w:color w:val="000000"/>
                <w:sz w:val="20"/>
                <w:szCs w:val="20"/>
              </w:rPr>
              <w:t>AUTRES IMMOBILISATIONS CORPORELLES</w:t>
            </w:r>
          </w:p>
        </w:tc>
        <w:tc>
          <w:tcPr>
            <w:tcW w:w="2732" w:type="dxa"/>
            <w:tcBorders>
              <w:top w:val="nil"/>
              <w:left w:val="nil"/>
              <w:bottom w:val="single" w:sz="4" w:space="0" w:color="auto"/>
              <w:right w:val="single" w:sz="4" w:space="0" w:color="auto"/>
            </w:tcBorders>
            <w:shd w:val="clear" w:color="000000" w:fill="FFFFFF"/>
            <w:noWrap/>
            <w:vAlign w:val="center"/>
            <w:hideMark/>
          </w:tcPr>
          <w:p w14:paraId="1E5EB638" w14:textId="77777777" w:rsidR="006409C6" w:rsidRPr="00A6308C" w:rsidRDefault="006409C6" w:rsidP="009A457B">
            <w:pPr>
              <w:spacing w:after="0" w:line="240" w:lineRule="auto"/>
              <w:jc w:val="center"/>
              <w:rPr>
                <w:rFonts w:ascii="Arial" w:eastAsia="Times New Roman" w:hAnsi="Arial" w:cs="Arial"/>
                <w:color w:val="000000"/>
                <w:sz w:val="20"/>
                <w:szCs w:val="20"/>
              </w:rPr>
            </w:pPr>
            <w:r w:rsidRPr="00A6308C">
              <w:rPr>
                <w:rFonts w:ascii="Arial" w:eastAsia="Times New Roman" w:hAnsi="Arial" w:cs="Arial"/>
                <w:color w:val="000000"/>
                <w:sz w:val="20"/>
                <w:szCs w:val="20"/>
              </w:rPr>
              <w:t>71 641,72</w:t>
            </w:r>
          </w:p>
        </w:tc>
        <w:tc>
          <w:tcPr>
            <w:tcW w:w="1822" w:type="dxa"/>
            <w:tcBorders>
              <w:top w:val="nil"/>
              <w:left w:val="nil"/>
              <w:bottom w:val="single" w:sz="4" w:space="0" w:color="auto"/>
              <w:right w:val="single" w:sz="4" w:space="0" w:color="auto"/>
            </w:tcBorders>
            <w:shd w:val="clear" w:color="000000" w:fill="FFFFFF"/>
            <w:noWrap/>
            <w:vAlign w:val="center"/>
            <w:hideMark/>
          </w:tcPr>
          <w:p w14:paraId="32815032" w14:textId="77777777" w:rsidR="006409C6" w:rsidRPr="00A6308C" w:rsidRDefault="006409C6" w:rsidP="009A457B">
            <w:pPr>
              <w:spacing w:after="0" w:line="240" w:lineRule="auto"/>
              <w:jc w:val="center"/>
              <w:rPr>
                <w:rFonts w:ascii="Arial" w:eastAsia="Times New Roman" w:hAnsi="Arial" w:cs="Arial"/>
                <w:color w:val="000000"/>
                <w:sz w:val="20"/>
                <w:szCs w:val="20"/>
              </w:rPr>
            </w:pPr>
            <w:r w:rsidRPr="00A6308C">
              <w:rPr>
                <w:rFonts w:ascii="Arial" w:eastAsia="Times New Roman" w:hAnsi="Arial" w:cs="Arial"/>
                <w:color w:val="000000"/>
                <w:sz w:val="20"/>
                <w:szCs w:val="20"/>
              </w:rPr>
              <w:t>71 641,72</w:t>
            </w:r>
          </w:p>
        </w:tc>
        <w:tc>
          <w:tcPr>
            <w:tcW w:w="1638" w:type="dxa"/>
            <w:tcBorders>
              <w:top w:val="nil"/>
              <w:left w:val="nil"/>
              <w:bottom w:val="single" w:sz="4" w:space="0" w:color="auto"/>
              <w:right w:val="single" w:sz="4" w:space="0" w:color="auto"/>
            </w:tcBorders>
            <w:shd w:val="clear" w:color="000000" w:fill="FFFFFF"/>
            <w:noWrap/>
            <w:vAlign w:val="center"/>
            <w:hideMark/>
          </w:tcPr>
          <w:p w14:paraId="25EE5D71" w14:textId="77777777" w:rsidR="006409C6" w:rsidRPr="00A6308C" w:rsidRDefault="006409C6" w:rsidP="009A457B">
            <w:pPr>
              <w:spacing w:after="0" w:line="240" w:lineRule="auto"/>
              <w:jc w:val="center"/>
              <w:rPr>
                <w:rFonts w:ascii="Arial" w:eastAsia="Times New Roman" w:hAnsi="Arial" w:cs="Arial"/>
                <w:color w:val="000000"/>
                <w:sz w:val="20"/>
                <w:szCs w:val="20"/>
              </w:rPr>
            </w:pPr>
            <w:r w:rsidRPr="00A6308C">
              <w:rPr>
                <w:rFonts w:ascii="Arial" w:eastAsia="Times New Roman" w:hAnsi="Arial" w:cs="Arial"/>
                <w:color w:val="000000"/>
                <w:sz w:val="20"/>
                <w:szCs w:val="20"/>
              </w:rPr>
              <w:t>0,00</w:t>
            </w:r>
          </w:p>
        </w:tc>
        <w:tc>
          <w:tcPr>
            <w:tcW w:w="1818" w:type="dxa"/>
            <w:tcBorders>
              <w:top w:val="nil"/>
              <w:left w:val="nil"/>
              <w:bottom w:val="single" w:sz="4" w:space="0" w:color="auto"/>
              <w:right w:val="single" w:sz="4" w:space="0" w:color="auto"/>
            </w:tcBorders>
            <w:shd w:val="clear" w:color="000000" w:fill="FFFFFF"/>
            <w:noWrap/>
            <w:vAlign w:val="center"/>
            <w:hideMark/>
          </w:tcPr>
          <w:p w14:paraId="44837245" w14:textId="77777777" w:rsidR="006409C6" w:rsidRPr="00A6308C" w:rsidRDefault="006409C6" w:rsidP="009A457B">
            <w:pPr>
              <w:spacing w:after="0" w:line="240" w:lineRule="auto"/>
              <w:jc w:val="center"/>
              <w:rPr>
                <w:rFonts w:ascii="Arial" w:eastAsia="Times New Roman" w:hAnsi="Arial" w:cs="Arial"/>
                <w:color w:val="000000"/>
                <w:sz w:val="20"/>
                <w:szCs w:val="20"/>
              </w:rPr>
            </w:pPr>
            <w:r w:rsidRPr="00A6308C">
              <w:rPr>
                <w:rFonts w:ascii="Arial" w:eastAsia="Times New Roman" w:hAnsi="Arial" w:cs="Arial"/>
                <w:color w:val="000000"/>
                <w:sz w:val="20"/>
                <w:szCs w:val="20"/>
              </w:rPr>
              <w:t>29 054,60</w:t>
            </w:r>
          </w:p>
        </w:tc>
      </w:tr>
      <w:tr w:rsidR="006409C6" w:rsidRPr="00A6308C" w14:paraId="25E55C6A" w14:textId="77777777" w:rsidTr="009A457B">
        <w:trPr>
          <w:trHeight w:val="319"/>
        </w:trPr>
        <w:tc>
          <w:tcPr>
            <w:tcW w:w="2003" w:type="dxa"/>
            <w:tcBorders>
              <w:top w:val="nil"/>
              <w:left w:val="single" w:sz="4" w:space="0" w:color="auto"/>
              <w:bottom w:val="single" w:sz="4" w:space="0" w:color="auto"/>
              <w:right w:val="single" w:sz="4" w:space="0" w:color="auto"/>
            </w:tcBorders>
            <w:shd w:val="clear" w:color="000000" w:fill="FFFFFF"/>
            <w:noWrap/>
            <w:vAlign w:val="center"/>
            <w:hideMark/>
          </w:tcPr>
          <w:p w14:paraId="48E0DF08" w14:textId="77777777" w:rsidR="006409C6" w:rsidRPr="00A6308C" w:rsidRDefault="006409C6" w:rsidP="009A457B">
            <w:pPr>
              <w:spacing w:after="0" w:line="240" w:lineRule="auto"/>
              <w:jc w:val="center"/>
              <w:rPr>
                <w:rFonts w:ascii="Arial" w:eastAsia="Times New Roman" w:hAnsi="Arial" w:cs="Arial"/>
                <w:color w:val="000000"/>
                <w:sz w:val="20"/>
                <w:szCs w:val="20"/>
              </w:rPr>
            </w:pPr>
            <w:r w:rsidRPr="00A6308C">
              <w:rPr>
                <w:rFonts w:ascii="Arial" w:eastAsia="Times New Roman" w:hAnsi="Arial" w:cs="Arial"/>
                <w:color w:val="000000"/>
                <w:sz w:val="20"/>
                <w:szCs w:val="20"/>
              </w:rPr>
              <w:t>2031</w:t>
            </w:r>
          </w:p>
        </w:tc>
        <w:tc>
          <w:tcPr>
            <w:tcW w:w="4554" w:type="dxa"/>
            <w:tcBorders>
              <w:top w:val="nil"/>
              <w:left w:val="nil"/>
              <w:bottom w:val="single" w:sz="4" w:space="0" w:color="auto"/>
              <w:right w:val="single" w:sz="4" w:space="0" w:color="auto"/>
            </w:tcBorders>
            <w:shd w:val="clear" w:color="000000" w:fill="FFFFFF"/>
            <w:noWrap/>
            <w:vAlign w:val="center"/>
            <w:hideMark/>
          </w:tcPr>
          <w:p w14:paraId="75D8FF7C" w14:textId="77777777" w:rsidR="006409C6" w:rsidRPr="00A6308C" w:rsidRDefault="006409C6" w:rsidP="009A457B">
            <w:pPr>
              <w:spacing w:after="0" w:line="240" w:lineRule="auto"/>
              <w:jc w:val="center"/>
              <w:rPr>
                <w:rFonts w:ascii="Arial" w:eastAsia="Times New Roman" w:hAnsi="Arial" w:cs="Arial"/>
                <w:color w:val="000000"/>
                <w:sz w:val="20"/>
                <w:szCs w:val="20"/>
              </w:rPr>
            </w:pPr>
            <w:r w:rsidRPr="00A6308C">
              <w:rPr>
                <w:rFonts w:ascii="Arial" w:eastAsia="Times New Roman" w:hAnsi="Arial" w:cs="Arial"/>
                <w:color w:val="000000"/>
                <w:sz w:val="20"/>
                <w:szCs w:val="20"/>
              </w:rPr>
              <w:t>FRAIS D'ETUDES</w:t>
            </w:r>
          </w:p>
        </w:tc>
        <w:tc>
          <w:tcPr>
            <w:tcW w:w="2732" w:type="dxa"/>
            <w:tcBorders>
              <w:top w:val="nil"/>
              <w:left w:val="nil"/>
              <w:bottom w:val="single" w:sz="4" w:space="0" w:color="auto"/>
              <w:right w:val="single" w:sz="4" w:space="0" w:color="auto"/>
            </w:tcBorders>
            <w:shd w:val="clear" w:color="000000" w:fill="FFFFFF"/>
            <w:noWrap/>
            <w:vAlign w:val="center"/>
            <w:hideMark/>
          </w:tcPr>
          <w:p w14:paraId="20CE3721" w14:textId="77777777" w:rsidR="006409C6" w:rsidRPr="00A6308C" w:rsidRDefault="006409C6" w:rsidP="009A457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53680,00</w:t>
            </w:r>
          </w:p>
        </w:tc>
        <w:tc>
          <w:tcPr>
            <w:tcW w:w="1822" w:type="dxa"/>
            <w:tcBorders>
              <w:top w:val="nil"/>
              <w:left w:val="nil"/>
              <w:bottom w:val="single" w:sz="4" w:space="0" w:color="auto"/>
              <w:right w:val="single" w:sz="4" w:space="0" w:color="auto"/>
            </w:tcBorders>
            <w:shd w:val="clear" w:color="000000" w:fill="FFFFFF"/>
            <w:noWrap/>
            <w:vAlign w:val="center"/>
            <w:hideMark/>
          </w:tcPr>
          <w:p w14:paraId="2225A2DD" w14:textId="77777777" w:rsidR="006409C6" w:rsidRPr="00A6308C" w:rsidRDefault="006409C6" w:rsidP="009A457B">
            <w:pPr>
              <w:spacing w:after="0" w:line="240" w:lineRule="auto"/>
              <w:jc w:val="center"/>
              <w:rPr>
                <w:rFonts w:ascii="Arial" w:eastAsia="Times New Roman" w:hAnsi="Arial" w:cs="Arial"/>
                <w:color w:val="000000"/>
                <w:sz w:val="20"/>
                <w:szCs w:val="20"/>
              </w:rPr>
            </w:pPr>
            <w:r w:rsidRPr="00A6308C">
              <w:rPr>
                <w:rFonts w:ascii="Arial" w:eastAsia="Times New Roman" w:hAnsi="Arial" w:cs="Arial"/>
                <w:color w:val="000000"/>
                <w:sz w:val="20"/>
                <w:szCs w:val="20"/>
              </w:rPr>
              <w:t>53 680,00</w:t>
            </w:r>
          </w:p>
        </w:tc>
        <w:tc>
          <w:tcPr>
            <w:tcW w:w="1638" w:type="dxa"/>
            <w:tcBorders>
              <w:top w:val="nil"/>
              <w:left w:val="nil"/>
              <w:bottom w:val="single" w:sz="4" w:space="0" w:color="auto"/>
              <w:right w:val="single" w:sz="4" w:space="0" w:color="auto"/>
            </w:tcBorders>
            <w:shd w:val="clear" w:color="000000" w:fill="FFFFFF"/>
            <w:noWrap/>
            <w:vAlign w:val="center"/>
            <w:hideMark/>
          </w:tcPr>
          <w:p w14:paraId="18E5C2C4" w14:textId="77777777" w:rsidR="006409C6" w:rsidRPr="00A6308C" w:rsidRDefault="006409C6" w:rsidP="009A457B">
            <w:pPr>
              <w:spacing w:after="0" w:line="240" w:lineRule="auto"/>
              <w:jc w:val="center"/>
              <w:rPr>
                <w:rFonts w:ascii="Arial" w:eastAsia="Times New Roman" w:hAnsi="Arial" w:cs="Arial"/>
                <w:color w:val="000000"/>
                <w:sz w:val="20"/>
                <w:szCs w:val="20"/>
              </w:rPr>
            </w:pPr>
            <w:r w:rsidRPr="00A6308C">
              <w:rPr>
                <w:rFonts w:ascii="Arial" w:eastAsia="Times New Roman" w:hAnsi="Arial" w:cs="Arial"/>
                <w:color w:val="000000"/>
                <w:sz w:val="20"/>
                <w:szCs w:val="20"/>
              </w:rPr>
              <w:t>28 680,00</w:t>
            </w:r>
          </w:p>
        </w:tc>
        <w:tc>
          <w:tcPr>
            <w:tcW w:w="1818" w:type="dxa"/>
            <w:tcBorders>
              <w:top w:val="nil"/>
              <w:left w:val="nil"/>
              <w:bottom w:val="single" w:sz="4" w:space="0" w:color="auto"/>
              <w:right w:val="single" w:sz="4" w:space="0" w:color="auto"/>
            </w:tcBorders>
            <w:shd w:val="clear" w:color="000000" w:fill="FFFFFF"/>
            <w:noWrap/>
            <w:vAlign w:val="center"/>
            <w:hideMark/>
          </w:tcPr>
          <w:p w14:paraId="416DA1CF" w14:textId="77777777" w:rsidR="006409C6" w:rsidRPr="00A6308C" w:rsidRDefault="006409C6" w:rsidP="009A457B">
            <w:pPr>
              <w:spacing w:after="0" w:line="240" w:lineRule="auto"/>
              <w:jc w:val="center"/>
              <w:rPr>
                <w:rFonts w:ascii="Arial" w:eastAsia="Times New Roman" w:hAnsi="Arial" w:cs="Arial"/>
                <w:color w:val="000000"/>
                <w:sz w:val="20"/>
                <w:szCs w:val="20"/>
              </w:rPr>
            </w:pPr>
            <w:r w:rsidRPr="00A6308C">
              <w:rPr>
                <w:rFonts w:ascii="Arial" w:eastAsia="Times New Roman" w:hAnsi="Arial" w:cs="Arial"/>
                <w:color w:val="000000"/>
                <w:sz w:val="20"/>
                <w:szCs w:val="20"/>
              </w:rPr>
              <w:t>-   €</w:t>
            </w:r>
          </w:p>
        </w:tc>
      </w:tr>
      <w:tr w:rsidR="006409C6" w:rsidRPr="00A6308C" w14:paraId="6409EF86" w14:textId="77777777" w:rsidTr="009A457B">
        <w:trPr>
          <w:trHeight w:val="319"/>
        </w:trPr>
        <w:tc>
          <w:tcPr>
            <w:tcW w:w="2003" w:type="dxa"/>
            <w:tcBorders>
              <w:top w:val="nil"/>
              <w:left w:val="single" w:sz="4" w:space="0" w:color="auto"/>
              <w:bottom w:val="single" w:sz="4" w:space="0" w:color="auto"/>
              <w:right w:val="single" w:sz="4" w:space="0" w:color="auto"/>
            </w:tcBorders>
            <w:shd w:val="clear" w:color="000000" w:fill="FFFFFF"/>
            <w:noWrap/>
            <w:vAlign w:val="center"/>
            <w:hideMark/>
          </w:tcPr>
          <w:p w14:paraId="6B171CA8" w14:textId="77777777" w:rsidR="006409C6" w:rsidRPr="00A6308C" w:rsidRDefault="006409C6" w:rsidP="009A457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2088</w:t>
            </w:r>
          </w:p>
        </w:tc>
        <w:tc>
          <w:tcPr>
            <w:tcW w:w="4554" w:type="dxa"/>
            <w:tcBorders>
              <w:top w:val="nil"/>
              <w:left w:val="nil"/>
              <w:bottom w:val="single" w:sz="4" w:space="0" w:color="auto"/>
              <w:right w:val="single" w:sz="4" w:space="0" w:color="auto"/>
            </w:tcBorders>
            <w:shd w:val="clear" w:color="000000" w:fill="FFFFFF"/>
            <w:noWrap/>
            <w:vAlign w:val="center"/>
            <w:hideMark/>
          </w:tcPr>
          <w:p w14:paraId="70B3442D" w14:textId="77777777" w:rsidR="006409C6" w:rsidRPr="00A6308C" w:rsidRDefault="006409C6" w:rsidP="009A457B">
            <w:pPr>
              <w:spacing w:after="0" w:line="240" w:lineRule="auto"/>
              <w:jc w:val="center"/>
              <w:rPr>
                <w:rFonts w:ascii="Arial" w:eastAsia="Times New Roman" w:hAnsi="Arial" w:cs="Arial"/>
                <w:color w:val="000000"/>
                <w:sz w:val="20"/>
                <w:szCs w:val="20"/>
              </w:rPr>
            </w:pPr>
            <w:r w:rsidRPr="00A6308C">
              <w:rPr>
                <w:rFonts w:ascii="Arial" w:eastAsia="Times New Roman" w:hAnsi="Arial" w:cs="Arial"/>
                <w:color w:val="000000"/>
                <w:sz w:val="20"/>
                <w:szCs w:val="20"/>
              </w:rPr>
              <w:t>SCHEMA DIRECTEUR CYCLABLE</w:t>
            </w:r>
          </w:p>
        </w:tc>
        <w:tc>
          <w:tcPr>
            <w:tcW w:w="2732" w:type="dxa"/>
            <w:tcBorders>
              <w:top w:val="nil"/>
              <w:left w:val="nil"/>
              <w:bottom w:val="single" w:sz="4" w:space="0" w:color="auto"/>
              <w:right w:val="single" w:sz="4" w:space="0" w:color="auto"/>
            </w:tcBorders>
            <w:shd w:val="clear" w:color="000000" w:fill="FFFFFF"/>
            <w:noWrap/>
            <w:vAlign w:val="center"/>
            <w:hideMark/>
          </w:tcPr>
          <w:p w14:paraId="284B68F6" w14:textId="77777777" w:rsidR="006409C6" w:rsidRPr="00A6308C" w:rsidRDefault="006409C6" w:rsidP="009A457B">
            <w:pPr>
              <w:spacing w:after="0" w:line="240" w:lineRule="auto"/>
              <w:jc w:val="center"/>
              <w:rPr>
                <w:rFonts w:ascii="Arial" w:eastAsia="Times New Roman" w:hAnsi="Arial" w:cs="Arial"/>
                <w:color w:val="000000"/>
                <w:sz w:val="20"/>
                <w:szCs w:val="20"/>
              </w:rPr>
            </w:pPr>
          </w:p>
        </w:tc>
        <w:tc>
          <w:tcPr>
            <w:tcW w:w="1822" w:type="dxa"/>
            <w:tcBorders>
              <w:top w:val="nil"/>
              <w:left w:val="nil"/>
              <w:bottom w:val="single" w:sz="4" w:space="0" w:color="auto"/>
              <w:right w:val="single" w:sz="4" w:space="0" w:color="auto"/>
            </w:tcBorders>
            <w:shd w:val="clear" w:color="000000" w:fill="FFFFFF"/>
            <w:noWrap/>
            <w:vAlign w:val="center"/>
            <w:hideMark/>
          </w:tcPr>
          <w:p w14:paraId="70066D85" w14:textId="77777777" w:rsidR="006409C6" w:rsidRPr="00A6308C" w:rsidRDefault="006409C6" w:rsidP="009A457B">
            <w:pPr>
              <w:spacing w:after="0" w:line="240" w:lineRule="auto"/>
              <w:jc w:val="center"/>
              <w:rPr>
                <w:rFonts w:ascii="Arial" w:eastAsia="Times New Roman" w:hAnsi="Arial" w:cs="Arial"/>
                <w:color w:val="000000"/>
                <w:sz w:val="20"/>
                <w:szCs w:val="20"/>
              </w:rPr>
            </w:pPr>
          </w:p>
        </w:tc>
        <w:tc>
          <w:tcPr>
            <w:tcW w:w="1638" w:type="dxa"/>
            <w:tcBorders>
              <w:top w:val="nil"/>
              <w:left w:val="nil"/>
              <w:bottom w:val="single" w:sz="4" w:space="0" w:color="auto"/>
              <w:right w:val="single" w:sz="4" w:space="0" w:color="auto"/>
            </w:tcBorders>
            <w:shd w:val="clear" w:color="000000" w:fill="FFFFFF"/>
            <w:noWrap/>
            <w:vAlign w:val="center"/>
            <w:hideMark/>
          </w:tcPr>
          <w:p w14:paraId="41A48472" w14:textId="77777777" w:rsidR="006409C6" w:rsidRPr="00A6308C" w:rsidRDefault="006409C6" w:rsidP="009A457B">
            <w:pPr>
              <w:spacing w:after="0" w:line="240" w:lineRule="auto"/>
              <w:jc w:val="center"/>
              <w:rPr>
                <w:rFonts w:ascii="Arial" w:eastAsia="Times New Roman" w:hAnsi="Arial" w:cs="Arial"/>
                <w:color w:val="000000"/>
                <w:sz w:val="20"/>
                <w:szCs w:val="20"/>
              </w:rPr>
            </w:pPr>
          </w:p>
        </w:tc>
        <w:tc>
          <w:tcPr>
            <w:tcW w:w="1818" w:type="dxa"/>
            <w:tcBorders>
              <w:top w:val="nil"/>
              <w:left w:val="nil"/>
              <w:bottom w:val="single" w:sz="4" w:space="0" w:color="auto"/>
              <w:right w:val="single" w:sz="4" w:space="0" w:color="auto"/>
            </w:tcBorders>
            <w:shd w:val="clear" w:color="000000" w:fill="FFFFFF"/>
            <w:noWrap/>
            <w:vAlign w:val="center"/>
            <w:hideMark/>
          </w:tcPr>
          <w:p w14:paraId="5F79F070" w14:textId="77777777" w:rsidR="006409C6" w:rsidRPr="00A6308C" w:rsidRDefault="006409C6" w:rsidP="009A457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7</w:t>
            </w:r>
            <w:r w:rsidRPr="00A6308C">
              <w:rPr>
                <w:rFonts w:ascii="Arial" w:eastAsia="Times New Roman" w:hAnsi="Arial" w:cs="Arial"/>
                <w:color w:val="000000"/>
                <w:sz w:val="20"/>
                <w:szCs w:val="20"/>
              </w:rPr>
              <w:t xml:space="preserve">0 000,00 </w:t>
            </w:r>
          </w:p>
        </w:tc>
      </w:tr>
      <w:tr w:rsidR="006409C6" w:rsidRPr="00A6308C" w14:paraId="71E89038" w14:textId="77777777" w:rsidTr="009A457B">
        <w:trPr>
          <w:trHeight w:val="319"/>
        </w:trPr>
        <w:tc>
          <w:tcPr>
            <w:tcW w:w="2003" w:type="dxa"/>
            <w:tcBorders>
              <w:top w:val="nil"/>
              <w:left w:val="single" w:sz="4" w:space="0" w:color="auto"/>
              <w:bottom w:val="single" w:sz="4" w:space="0" w:color="auto"/>
              <w:right w:val="nil"/>
            </w:tcBorders>
            <w:shd w:val="clear" w:color="000000" w:fill="FFFFFF"/>
            <w:noWrap/>
            <w:hideMark/>
          </w:tcPr>
          <w:p w14:paraId="6C36C4AA" w14:textId="77777777" w:rsidR="006409C6" w:rsidRPr="00A6308C" w:rsidRDefault="006409C6" w:rsidP="009A457B">
            <w:pPr>
              <w:spacing w:after="0" w:line="240" w:lineRule="auto"/>
              <w:rPr>
                <w:rFonts w:ascii="Arial" w:eastAsia="Times New Roman" w:hAnsi="Arial" w:cs="Arial"/>
                <w:b/>
                <w:bCs/>
                <w:color w:val="000000"/>
                <w:sz w:val="20"/>
                <w:szCs w:val="20"/>
              </w:rPr>
            </w:pPr>
            <w:r w:rsidRPr="00A6308C">
              <w:rPr>
                <w:rFonts w:ascii="Arial" w:eastAsia="Times New Roman" w:hAnsi="Arial" w:cs="Arial"/>
                <w:b/>
                <w:bCs/>
                <w:color w:val="000000"/>
                <w:sz w:val="20"/>
                <w:szCs w:val="20"/>
              </w:rPr>
              <w:t> </w:t>
            </w:r>
          </w:p>
        </w:tc>
        <w:tc>
          <w:tcPr>
            <w:tcW w:w="4554" w:type="dxa"/>
            <w:tcBorders>
              <w:top w:val="nil"/>
              <w:left w:val="nil"/>
              <w:bottom w:val="single" w:sz="4" w:space="0" w:color="auto"/>
              <w:right w:val="single" w:sz="4" w:space="0" w:color="auto"/>
            </w:tcBorders>
            <w:shd w:val="clear" w:color="000000" w:fill="FFFFFF"/>
            <w:noWrap/>
            <w:hideMark/>
          </w:tcPr>
          <w:p w14:paraId="0C23978F" w14:textId="77777777" w:rsidR="006409C6" w:rsidRPr="00A6308C" w:rsidRDefault="006409C6" w:rsidP="009A457B">
            <w:pPr>
              <w:spacing w:after="0" w:line="240" w:lineRule="auto"/>
              <w:rPr>
                <w:rFonts w:ascii="Arial" w:eastAsia="Times New Roman" w:hAnsi="Arial" w:cs="Arial"/>
                <w:b/>
                <w:bCs/>
                <w:color w:val="000000"/>
                <w:sz w:val="20"/>
                <w:szCs w:val="20"/>
              </w:rPr>
            </w:pPr>
            <w:r w:rsidRPr="00A6308C">
              <w:rPr>
                <w:rFonts w:ascii="Arial" w:eastAsia="Times New Roman" w:hAnsi="Arial" w:cs="Arial"/>
                <w:b/>
                <w:bCs/>
                <w:color w:val="000000"/>
                <w:sz w:val="20"/>
                <w:szCs w:val="20"/>
              </w:rPr>
              <w:t> </w:t>
            </w:r>
          </w:p>
        </w:tc>
        <w:tc>
          <w:tcPr>
            <w:tcW w:w="2732" w:type="dxa"/>
            <w:tcBorders>
              <w:top w:val="nil"/>
              <w:left w:val="nil"/>
              <w:bottom w:val="single" w:sz="4" w:space="0" w:color="auto"/>
              <w:right w:val="single" w:sz="4" w:space="0" w:color="auto"/>
            </w:tcBorders>
            <w:shd w:val="clear" w:color="000000" w:fill="FFFFFF"/>
            <w:noWrap/>
            <w:vAlign w:val="center"/>
            <w:hideMark/>
          </w:tcPr>
          <w:p w14:paraId="4C7A0EB5" w14:textId="77777777" w:rsidR="006409C6" w:rsidRPr="00A6308C" w:rsidRDefault="006409C6" w:rsidP="009A457B">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134 021,72</w:t>
            </w:r>
          </w:p>
        </w:tc>
        <w:tc>
          <w:tcPr>
            <w:tcW w:w="1822" w:type="dxa"/>
            <w:tcBorders>
              <w:top w:val="nil"/>
              <w:left w:val="nil"/>
              <w:bottom w:val="single" w:sz="4" w:space="0" w:color="auto"/>
              <w:right w:val="single" w:sz="4" w:space="0" w:color="auto"/>
            </w:tcBorders>
            <w:shd w:val="clear" w:color="000000" w:fill="FFFFFF"/>
            <w:noWrap/>
            <w:vAlign w:val="center"/>
            <w:hideMark/>
          </w:tcPr>
          <w:p w14:paraId="019313B8" w14:textId="77777777" w:rsidR="006409C6" w:rsidRPr="00A6308C" w:rsidRDefault="006409C6" w:rsidP="009A457B">
            <w:pPr>
              <w:spacing w:after="0" w:line="240" w:lineRule="auto"/>
              <w:jc w:val="center"/>
              <w:rPr>
                <w:rFonts w:ascii="Arial" w:eastAsia="Times New Roman" w:hAnsi="Arial" w:cs="Arial"/>
                <w:b/>
                <w:bCs/>
                <w:color w:val="000000"/>
                <w:sz w:val="20"/>
                <w:szCs w:val="20"/>
              </w:rPr>
            </w:pPr>
            <w:r w:rsidRPr="00A6308C">
              <w:rPr>
                <w:rFonts w:ascii="Arial" w:eastAsia="Times New Roman" w:hAnsi="Arial" w:cs="Arial"/>
                <w:b/>
                <w:bCs/>
                <w:color w:val="000000"/>
                <w:sz w:val="20"/>
                <w:szCs w:val="20"/>
              </w:rPr>
              <w:t>134 021,72</w:t>
            </w:r>
          </w:p>
        </w:tc>
        <w:tc>
          <w:tcPr>
            <w:tcW w:w="1638" w:type="dxa"/>
            <w:tcBorders>
              <w:top w:val="nil"/>
              <w:left w:val="nil"/>
              <w:bottom w:val="single" w:sz="4" w:space="0" w:color="auto"/>
              <w:right w:val="single" w:sz="4" w:space="0" w:color="auto"/>
            </w:tcBorders>
            <w:shd w:val="clear" w:color="000000" w:fill="FFFFFF"/>
            <w:noWrap/>
            <w:vAlign w:val="center"/>
            <w:hideMark/>
          </w:tcPr>
          <w:p w14:paraId="026824C8" w14:textId="77777777" w:rsidR="006409C6" w:rsidRPr="00A6308C" w:rsidRDefault="006409C6" w:rsidP="009A457B">
            <w:pPr>
              <w:spacing w:after="0" w:line="240" w:lineRule="auto"/>
              <w:jc w:val="center"/>
              <w:rPr>
                <w:rFonts w:ascii="Arial" w:eastAsia="Times New Roman" w:hAnsi="Arial" w:cs="Arial"/>
                <w:b/>
                <w:bCs/>
                <w:color w:val="000000"/>
                <w:sz w:val="20"/>
                <w:szCs w:val="20"/>
              </w:rPr>
            </w:pPr>
            <w:r w:rsidRPr="00A6308C">
              <w:rPr>
                <w:rFonts w:ascii="Arial" w:eastAsia="Times New Roman" w:hAnsi="Arial" w:cs="Arial"/>
                <w:b/>
                <w:bCs/>
                <w:color w:val="000000"/>
                <w:sz w:val="20"/>
                <w:szCs w:val="20"/>
              </w:rPr>
              <w:t xml:space="preserve">37 316,70 </w:t>
            </w:r>
          </w:p>
        </w:tc>
        <w:tc>
          <w:tcPr>
            <w:tcW w:w="1818" w:type="dxa"/>
            <w:tcBorders>
              <w:top w:val="nil"/>
              <w:left w:val="nil"/>
              <w:bottom w:val="single" w:sz="4" w:space="0" w:color="auto"/>
              <w:right w:val="single" w:sz="4" w:space="0" w:color="auto"/>
            </w:tcBorders>
            <w:shd w:val="clear" w:color="000000" w:fill="FFFFFF"/>
            <w:noWrap/>
            <w:vAlign w:val="center"/>
            <w:hideMark/>
          </w:tcPr>
          <w:p w14:paraId="7057C334" w14:textId="77777777" w:rsidR="006409C6" w:rsidRPr="00A6308C" w:rsidRDefault="006409C6" w:rsidP="009A457B">
            <w:pPr>
              <w:spacing w:after="0" w:line="240" w:lineRule="auto"/>
              <w:jc w:val="center"/>
              <w:rPr>
                <w:rFonts w:ascii="Arial" w:eastAsia="Times New Roman" w:hAnsi="Arial" w:cs="Arial"/>
                <w:color w:val="000000"/>
                <w:sz w:val="20"/>
                <w:szCs w:val="20"/>
              </w:rPr>
            </w:pPr>
            <w:r w:rsidRPr="00A6308C">
              <w:rPr>
                <w:rFonts w:ascii="Arial" w:eastAsia="Times New Roman" w:hAnsi="Arial" w:cs="Arial"/>
                <w:color w:val="000000"/>
                <w:sz w:val="20"/>
                <w:szCs w:val="20"/>
              </w:rPr>
              <w:t xml:space="preserve">105 554,60 </w:t>
            </w:r>
          </w:p>
        </w:tc>
      </w:tr>
    </w:tbl>
    <w:p w14:paraId="01F19C46" w14:textId="77777777" w:rsidR="006409C6" w:rsidRDefault="006409C6" w:rsidP="006409C6"/>
    <w:p w14:paraId="2D04DA82" w14:textId="77777777" w:rsidR="006409C6" w:rsidRDefault="006409C6" w:rsidP="006409C6">
      <w:pPr>
        <w:rPr>
          <w:b/>
          <w:bCs/>
          <w:u w:val="single"/>
        </w:rPr>
      </w:pPr>
      <w:r w:rsidRPr="00A0723B">
        <w:rPr>
          <w:b/>
          <w:bCs/>
          <w:u w:val="single"/>
        </w:rPr>
        <w:t>Précision</w:t>
      </w:r>
      <w:r>
        <w:rPr>
          <w:b/>
          <w:bCs/>
          <w:u w:val="single"/>
        </w:rPr>
        <w:t>s :</w:t>
      </w:r>
    </w:p>
    <w:p w14:paraId="2E3F8618" w14:textId="77777777" w:rsidR="006409C6" w:rsidRPr="00686F36" w:rsidRDefault="006409C6" w:rsidP="006409C6">
      <w:pPr>
        <w:pStyle w:val="Paragraphedeliste"/>
        <w:numPr>
          <w:ilvl w:val="0"/>
          <w:numId w:val="4"/>
        </w:numPr>
        <w:spacing w:after="160" w:line="256" w:lineRule="auto"/>
        <w:rPr>
          <w:rFonts w:ascii="Times" w:hAnsi="Times" w:cs="Times"/>
          <w:b/>
          <w:bCs/>
          <w:sz w:val="24"/>
          <w:szCs w:val="24"/>
          <w:u w:val="single"/>
        </w:rPr>
      </w:pPr>
      <w:r w:rsidRPr="00686F36">
        <w:rPr>
          <w:rFonts w:ascii="Times" w:hAnsi="Times" w:cs="Times"/>
          <w:sz w:val="24"/>
          <w:szCs w:val="24"/>
        </w:rPr>
        <w:t>Les frais d’études concernent l’étude sur la reconversion des</w:t>
      </w:r>
      <w:r>
        <w:rPr>
          <w:rFonts w:ascii="Times" w:hAnsi="Times" w:cs="Times"/>
          <w:sz w:val="24"/>
          <w:szCs w:val="24"/>
        </w:rPr>
        <w:t xml:space="preserve"> anciennes</w:t>
      </w:r>
      <w:r w:rsidRPr="00686F36">
        <w:rPr>
          <w:rFonts w:ascii="Times" w:hAnsi="Times" w:cs="Times"/>
          <w:sz w:val="24"/>
          <w:szCs w:val="24"/>
        </w:rPr>
        <w:t xml:space="preserve"> voies SNCF</w:t>
      </w:r>
      <w:r>
        <w:rPr>
          <w:rFonts w:ascii="Times" w:hAnsi="Times" w:cs="Times"/>
          <w:sz w:val="24"/>
          <w:szCs w:val="24"/>
        </w:rPr>
        <w:t xml:space="preserve"> du Gâtinais et de la Vanne et Pays d’Othe. </w:t>
      </w:r>
    </w:p>
    <w:p w14:paraId="56082188" w14:textId="77777777" w:rsidR="006409C6" w:rsidRDefault="006409C6" w:rsidP="006409C6">
      <w:r>
        <w:br w:type="page"/>
      </w:r>
    </w:p>
    <w:p w14:paraId="10FB3DF1" w14:textId="77777777" w:rsidR="006409C6" w:rsidRDefault="006409C6" w:rsidP="006409C6"/>
    <w:p w14:paraId="118410BC" w14:textId="77777777" w:rsidR="006409C6" w:rsidRPr="00286657" w:rsidRDefault="006409C6" w:rsidP="006409C6">
      <w:pPr>
        <w:pStyle w:val="Titre2"/>
        <w:numPr>
          <w:ilvl w:val="0"/>
          <w:numId w:val="2"/>
        </w:numPr>
        <w:ind w:left="720"/>
        <w:rPr>
          <w:rFonts w:ascii="Times" w:hAnsi="Times" w:cs="Times"/>
          <w:b/>
          <w:bCs/>
          <w:u w:val="single"/>
        </w:rPr>
      </w:pPr>
      <w:r w:rsidRPr="00286657">
        <w:rPr>
          <w:rFonts w:ascii="Times" w:hAnsi="Times" w:cs="Times"/>
          <w:b/>
          <w:bCs/>
          <w:u w:val="single"/>
        </w:rPr>
        <w:t>Recettes d’investissement</w:t>
      </w:r>
    </w:p>
    <w:p w14:paraId="1282A908" w14:textId="77777777" w:rsidR="006409C6" w:rsidRPr="00FC3DE1" w:rsidRDefault="006409C6" w:rsidP="006409C6"/>
    <w:tbl>
      <w:tblPr>
        <w:tblW w:w="14281" w:type="dxa"/>
        <w:tblInd w:w="-5" w:type="dxa"/>
        <w:tblCellMar>
          <w:left w:w="70" w:type="dxa"/>
          <w:right w:w="70" w:type="dxa"/>
        </w:tblCellMar>
        <w:tblLook w:val="04A0" w:firstRow="1" w:lastRow="0" w:firstColumn="1" w:lastColumn="0" w:noHBand="0" w:noVBand="1"/>
      </w:tblPr>
      <w:tblGrid>
        <w:gridCol w:w="1500"/>
        <w:gridCol w:w="4118"/>
        <w:gridCol w:w="2998"/>
        <w:gridCol w:w="1602"/>
        <w:gridCol w:w="1408"/>
        <w:gridCol w:w="2655"/>
      </w:tblGrid>
      <w:tr w:rsidR="006409C6" w:rsidRPr="00B009D6" w14:paraId="6863E791" w14:textId="77777777" w:rsidTr="009A457B">
        <w:trPr>
          <w:trHeight w:val="949"/>
        </w:trPr>
        <w:tc>
          <w:tcPr>
            <w:tcW w:w="1500" w:type="dxa"/>
            <w:tcBorders>
              <w:top w:val="single" w:sz="4" w:space="0" w:color="auto"/>
              <w:left w:val="single" w:sz="4" w:space="0" w:color="auto"/>
              <w:bottom w:val="single" w:sz="4" w:space="0" w:color="auto"/>
              <w:right w:val="single" w:sz="4" w:space="0" w:color="auto"/>
            </w:tcBorders>
            <w:shd w:val="clear" w:color="000000" w:fill="D9D9D9"/>
            <w:hideMark/>
          </w:tcPr>
          <w:p w14:paraId="399B5C3E" w14:textId="77777777" w:rsidR="006409C6" w:rsidRPr="00B009D6" w:rsidRDefault="006409C6" w:rsidP="009A457B">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Code fonction</w:t>
            </w:r>
          </w:p>
        </w:tc>
        <w:tc>
          <w:tcPr>
            <w:tcW w:w="4118" w:type="dxa"/>
            <w:tcBorders>
              <w:top w:val="single" w:sz="4" w:space="0" w:color="auto"/>
              <w:left w:val="nil"/>
              <w:bottom w:val="single" w:sz="4" w:space="0" w:color="auto"/>
              <w:right w:val="single" w:sz="4" w:space="0" w:color="auto"/>
            </w:tcBorders>
            <w:shd w:val="clear" w:color="000000" w:fill="D9D9D9"/>
            <w:hideMark/>
          </w:tcPr>
          <w:p w14:paraId="182E832E" w14:textId="77777777" w:rsidR="006409C6" w:rsidRPr="00B009D6" w:rsidRDefault="006409C6" w:rsidP="009A457B">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Compte</w:t>
            </w:r>
          </w:p>
        </w:tc>
        <w:tc>
          <w:tcPr>
            <w:tcW w:w="2998" w:type="dxa"/>
            <w:tcBorders>
              <w:top w:val="single" w:sz="4" w:space="0" w:color="auto"/>
              <w:left w:val="nil"/>
              <w:bottom w:val="single" w:sz="4" w:space="0" w:color="auto"/>
              <w:right w:val="single" w:sz="4" w:space="0" w:color="auto"/>
            </w:tcBorders>
            <w:shd w:val="clear" w:color="000000" w:fill="D9D9D9"/>
            <w:vAlign w:val="center"/>
            <w:hideMark/>
          </w:tcPr>
          <w:p w14:paraId="4B6B2838" w14:textId="77777777" w:rsidR="006409C6" w:rsidRPr="00B009D6" w:rsidRDefault="006409C6" w:rsidP="009A457B">
            <w:pPr>
              <w:spacing w:after="0" w:line="240" w:lineRule="auto"/>
              <w:jc w:val="center"/>
              <w:rPr>
                <w:rFonts w:ascii="Arial" w:eastAsia="Times New Roman" w:hAnsi="Arial" w:cs="Arial"/>
                <w:color w:val="000000"/>
                <w:sz w:val="20"/>
                <w:szCs w:val="20"/>
              </w:rPr>
            </w:pPr>
            <w:r w:rsidRPr="00B009D6">
              <w:rPr>
                <w:rFonts w:ascii="Arial" w:eastAsia="Times New Roman" w:hAnsi="Arial" w:cs="Arial"/>
                <w:color w:val="000000"/>
                <w:sz w:val="20"/>
                <w:szCs w:val="20"/>
              </w:rPr>
              <w:t>BP 2024</w:t>
            </w:r>
          </w:p>
        </w:tc>
        <w:tc>
          <w:tcPr>
            <w:tcW w:w="1602" w:type="dxa"/>
            <w:tcBorders>
              <w:top w:val="single" w:sz="4" w:space="0" w:color="auto"/>
              <w:left w:val="nil"/>
              <w:bottom w:val="single" w:sz="4" w:space="0" w:color="auto"/>
              <w:right w:val="single" w:sz="4" w:space="0" w:color="auto"/>
            </w:tcBorders>
            <w:shd w:val="clear" w:color="000000" w:fill="D9D9D9"/>
            <w:vAlign w:val="center"/>
            <w:hideMark/>
          </w:tcPr>
          <w:p w14:paraId="68F2C222" w14:textId="77777777" w:rsidR="006409C6" w:rsidRPr="00B009D6" w:rsidRDefault="006409C6" w:rsidP="009A457B">
            <w:pPr>
              <w:spacing w:after="0" w:line="240" w:lineRule="auto"/>
              <w:jc w:val="center"/>
              <w:rPr>
                <w:rFonts w:ascii="Arial" w:eastAsia="Times New Roman" w:hAnsi="Arial" w:cs="Arial"/>
                <w:color w:val="000000"/>
                <w:sz w:val="20"/>
                <w:szCs w:val="20"/>
              </w:rPr>
            </w:pPr>
            <w:r w:rsidRPr="00B009D6">
              <w:rPr>
                <w:rFonts w:ascii="Arial" w:eastAsia="Times New Roman" w:hAnsi="Arial" w:cs="Arial"/>
                <w:color w:val="000000"/>
                <w:sz w:val="20"/>
                <w:szCs w:val="20"/>
              </w:rPr>
              <w:t>Total budget 2024</w:t>
            </w:r>
          </w:p>
        </w:tc>
        <w:tc>
          <w:tcPr>
            <w:tcW w:w="1408" w:type="dxa"/>
            <w:tcBorders>
              <w:top w:val="single" w:sz="4" w:space="0" w:color="auto"/>
              <w:left w:val="nil"/>
              <w:bottom w:val="single" w:sz="4" w:space="0" w:color="auto"/>
              <w:right w:val="single" w:sz="4" w:space="0" w:color="auto"/>
            </w:tcBorders>
            <w:shd w:val="clear" w:color="000000" w:fill="D9D9D9"/>
            <w:vAlign w:val="center"/>
            <w:hideMark/>
          </w:tcPr>
          <w:p w14:paraId="440E91BB" w14:textId="77777777" w:rsidR="006409C6" w:rsidRPr="00B009D6" w:rsidRDefault="006409C6" w:rsidP="009A457B">
            <w:pPr>
              <w:spacing w:after="0" w:line="240" w:lineRule="auto"/>
              <w:jc w:val="center"/>
              <w:rPr>
                <w:rFonts w:ascii="Arial" w:eastAsia="Times New Roman" w:hAnsi="Arial" w:cs="Arial"/>
                <w:color w:val="000000"/>
                <w:sz w:val="20"/>
                <w:szCs w:val="20"/>
              </w:rPr>
            </w:pPr>
            <w:r w:rsidRPr="00B009D6">
              <w:rPr>
                <w:rFonts w:ascii="Arial" w:eastAsia="Times New Roman" w:hAnsi="Arial" w:cs="Arial"/>
                <w:color w:val="000000"/>
                <w:sz w:val="20"/>
                <w:szCs w:val="20"/>
              </w:rPr>
              <w:t xml:space="preserve">Total réalisé </w:t>
            </w:r>
            <w:r>
              <w:rPr>
                <w:rFonts w:ascii="Arial" w:eastAsia="Times New Roman" w:hAnsi="Arial" w:cs="Arial"/>
                <w:color w:val="000000"/>
                <w:sz w:val="20"/>
                <w:szCs w:val="20"/>
              </w:rPr>
              <w:t>2024</w:t>
            </w:r>
          </w:p>
        </w:tc>
        <w:tc>
          <w:tcPr>
            <w:tcW w:w="2655" w:type="dxa"/>
            <w:tcBorders>
              <w:top w:val="single" w:sz="4" w:space="0" w:color="auto"/>
              <w:left w:val="nil"/>
              <w:bottom w:val="single" w:sz="4" w:space="0" w:color="auto"/>
              <w:right w:val="single" w:sz="4" w:space="0" w:color="auto"/>
            </w:tcBorders>
            <w:shd w:val="clear" w:color="000000" w:fill="D9D9D9"/>
            <w:vAlign w:val="center"/>
            <w:hideMark/>
          </w:tcPr>
          <w:p w14:paraId="7DF984AD" w14:textId="77777777" w:rsidR="006409C6" w:rsidRPr="00B009D6" w:rsidRDefault="006409C6" w:rsidP="009A457B">
            <w:pPr>
              <w:spacing w:after="0" w:line="240" w:lineRule="auto"/>
              <w:jc w:val="center"/>
              <w:rPr>
                <w:rFonts w:ascii="Arial" w:eastAsia="Times New Roman" w:hAnsi="Arial" w:cs="Arial"/>
                <w:color w:val="000000"/>
                <w:sz w:val="20"/>
                <w:szCs w:val="20"/>
              </w:rPr>
            </w:pPr>
            <w:r w:rsidRPr="00B009D6">
              <w:rPr>
                <w:rFonts w:ascii="Arial" w:eastAsia="Times New Roman" w:hAnsi="Arial" w:cs="Arial"/>
                <w:color w:val="000000"/>
                <w:sz w:val="20"/>
                <w:szCs w:val="20"/>
              </w:rPr>
              <w:t>Proposition budget 2025</w:t>
            </w:r>
          </w:p>
        </w:tc>
      </w:tr>
      <w:tr w:rsidR="006409C6" w:rsidRPr="00B009D6" w14:paraId="5091EB17" w14:textId="77777777" w:rsidTr="009A457B">
        <w:trPr>
          <w:trHeight w:val="417"/>
        </w:trPr>
        <w:tc>
          <w:tcPr>
            <w:tcW w:w="1500" w:type="dxa"/>
            <w:tcBorders>
              <w:top w:val="nil"/>
              <w:left w:val="single" w:sz="4" w:space="0" w:color="auto"/>
              <w:bottom w:val="single" w:sz="4" w:space="0" w:color="auto"/>
              <w:right w:val="single" w:sz="4" w:space="0" w:color="auto"/>
            </w:tcBorders>
            <w:shd w:val="clear" w:color="000000" w:fill="FFFFFF"/>
            <w:noWrap/>
            <w:hideMark/>
          </w:tcPr>
          <w:p w14:paraId="5BB7964B" w14:textId="77777777" w:rsidR="006409C6" w:rsidRPr="00B009D6" w:rsidRDefault="006409C6" w:rsidP="009A457B">
            <w:pPr>
              <w:spacing w:after="0" w:line="240" w:lineRule="auto"/>
              <w:jc w:val="right"/>
              <w:rPr>
                <w:rFonts w:ascii="Arial" w:eastAsia="Times New Roman" w:hAnsi="Arial" w:cs="Arial"/>
                <w:color w:val="000000"/>
                <w:sz w:val="20"/>
                <w:szCs w:val="20"/>
              </w:rPr>
            </w:pPr>
            <w:r w:rsidRPr="00B009D6">
              <w:rPr>
                <w:rFonts w:ascii="Arial" w:eastAsia="Times New Roman" w:hAnsi="Arial" w:cs="Arial"/>
                <w:color w:val="000000"/>
                <w:sz w:val="20"/>
                <w:szCs w:val="20"/>
              </w:rPr>
              <w:t>001</w:t>
            </w:r>
          </w:p>
        </w:tc>
        <w:tc>
          <w:tcPr>
            <w:tcW w:w="4118" w:type="dxa"/>
            <w:tcBorders>
              <w:top w:val="nil"/>
              <w:left w:val="nil"/>
              <w:bottom w:val="single" w:sz="4" w:space="0" w:color="auto"/>
              <w:right w:val="single" w:sz="4" w:space="0" w:color="auto"/>
            </w:tcBorders>
            <w:shd w:val="clear" w:color="000000" w:fill="FFFFFF"/>
            <w:noWrap/>
            <w:hideMark/>
          </w:tcPr>
          <w:p w14:paraId="2D0D9550" w14:textId="77777777" w:rsidR="006409C6" w:rsidRPr="00B009D6" w:rsidRDefault="006409C6" w:rsidP="009A457B">
            <w:pPr>
              <w:spacing w:after="0" w:line="240" w:lineRule="auto"/>
              <w:jc w:val="right"/>
              <w:rPr>
                <w:rFonts w:ascii="Arial" w:eastAsia="Times New Roman" w:hAnsi="Arial" w:cs="Arial"/>
                <w:color w:val="000000"/>
                <w:sz w:val="20"/>
                <w:szCs w:val="20"/>
              </w:rPr>
            </w:pPr>
            <w:r w:rsidRPr="00B009D6">
              <w:rPr>
                <w:rFonts w:ascii="Arial" w:eastAsia="Times New Roman" w:hAnsi="Arial" w:cs="Arial"/>
                <w:color w:val="000000"/>
                <w:sz w:val="20"/>
                <w:szCs w:val="20"/>
              </w:rPr>
              <w:t>RESULTAT D'INVESTISSEMENT REPORTE</w:t>
            </w:r>
          </w:p>
        </w:tc>
        <w:tc>
          <w:tcPr>
            <w:tcW w:w="2998" w:type="dxa"/>
            <w:tcBorders>
              <w:top w:val="nil"/>
              <w:left w:val="nil"/>
              <w:bottom w:val="single" w:sz="4" w:space="0" w:color="auto"/>
              <w:right w:val="single" w:sz="4" w:space="0" w:color="auto"/>
            </w:tcBorders>
            <w:shd w:val="clear" w:color="000000" w:fill="FFFFFF"/>
            <w:noWrap/>
            <w:vAlign w:val="center"/>
            <w:hideMark/>
          </w:tcPr>
          <w:p w14:paraId="7D25DE46" w14:textId="77777777" w:rsidR="006409C6" w:rsidRPr="00B009D6" w:rsidRDefault="006409C6" w:rsidP="009A457B">
            <w:pPr>
              <w:spacing w:after="0" w:line="240" w:lineRule="auto"/>
              <w:jc w:val="center"/>
              <w:rPr>
                <w:rFonts w:ascii="Arial" w:eastAsia="Times New Roman" w:hAnsi="Arial" w:cs="Arial"/>
                <w:color w:val="000000"/>
                <w:sz w:val="20"/>
                <w:szCs w:val="20"/>
              </w:rPr>
            </w:pPr>
            <w:r w:rsidRPr="00B009D6">
              <w:rPr>
                <w:rFonts w:ascii="Arial" w:eastAsia="Times New Roman" w:hAnsi="Arial" w:cs="Arial"/>
                <w:color w:val="000000"/>
                <w:sz w:val="20"/>
                <w:szCs w:val="20"/>
              </w:rPr>
              <w:t>84 021,72</w:t>
            </w:r>
          </w:p>
        </w:tc>
        <w:tc>
          <w:tcPr>
            <w:tcW w:w="1602" w:type="dxa"/>
            <w:tcBorders>
              <w:top w:val="nil"/>
              <w:left w:val="nil"/>
              <w:bottom w:val="single" w:sz="4" w:space="0" w:color="auto"/>
              <w:right w:val="single" w:sz="4" w:space="0" w:color="auto"/>
            </w:tcBorders>
            <w:shd w:val="clear" w:color="000000" w:fill="FFFFFF"/>
            <w:noWrap/>
            <w:vAlign w:val="center"/>
            <w:hideMark/>
          </w:tcPr>
          <w:p w14:paraId="30CD16D2" w14:textId="77777777" w:rsidR="006409C6" w:rsidRPr="00B009D6" w:rsidRDefault="006409C6" w:rsidP="009A457B">
            <w:pPr>
              <w:spacing w:after="0" w:line="240" w:lineRule="auto"/>
              <w:jc w:val="center"/>
              <w:rPr>
                <w:rFonts w:ascii="Arial" w:eastAsia="Times New Roman" w:hAnsi="Arial" w:cs="Arial"/>
                <w:color w:val="000000"/>
                <w:sz w:val="20"/>
                <w:szCs w:val="20"/>
              </w:rPr>
            </w:pPr>
            <w:r w:rsidRPr="00B009D6">
              <w:rPr>
                <w:rFonts w:ascii="Arial" w:eastAsia="Times New Roman" w:hAnsi="Arial" w:cs="Arial"/>
                <w:color w:val="000000"/>
                <w:sz w:val="20"/>
                <w:szCs w:val="20"/>
              </w:rPr>
              <w:t>84 021,72</w:t>
            </w:r>
          </w:p>
        </w:tc>
        <w:tc>
          <w:tcPr>
            <w:tcW w:w="1408" w:type="dxa"/>
            <w:tcBorders>
              <w:top w:val="nil"/>
              <w:left w:val="nil"/>
              <w:bottom w:val="single" w:sz="4" w:space="0" w:color="auto"/>
              <w:right w:val="single" w:sz="4" w:space="0" w:color="auto"/>
            </w:tcBorders>
            <w:shd w:val="clear" w:color="000000" w:fill="FFFFFF"/>
            <w:noWrap/>
            <w:vAlign w:val="center"/>
            <w:hideMark/>
          </w:tcPr>
          <w:p w14:paraId="46F145A3" w14:textId="77777777" w:rsidR="006409C6" w:rsidRPr="00B009D6" w:rsidRDefault="006409C6" w:rsidP="009A457B">
            <w:pPr>
              <w:spacing w:after="0" w:line="240" w:lineRule="auto"/>
              <w:jc w:val="center"/>
              <w:rPr>
                <w:rFonts w:ascii="Arial" w:eastAsia="Times New Roman" w:hAnsi="Arial" w:cs="Arial"/>
                <w:color w:val="000000"/>
                <w:sz w:val="20"/>
                <w:szCs w:val="20"/>
              </w:rPr>
            </w:pPr>
            <w:r w:rsidRPr="00B009D6">
              <w:rPr>
                <w:rFonts w:ascii="Arial" w:eastAsia="Times New Roman" w:hAnsi="Arial" w:cs="Arial"/>
                <w:color w:val="000000"/>
                <w:sz w:val="20"/>
                <w:szCs w:val="20"/>
              </w:rPr>
              <w:t>0,00</w:t>
            </w:r>
          </w:p>
        </w:tc>
        <w:tc>
          <w:tcPr>
            <w:tcW w:w="2655" w:type="dxa"/>
            <w:tcBorders>
              <w:top w:val="nil"/>
              <w:left w:val="nil"/>
              <w:bottom w:val="single" w:sz="4" w:space="0" w:color="auto"/>
              <w:right w:val="single" w:sz="4" w:space="0" w:color="auto"/>
            </w:tcBorders>
            <w:shd w:val="clear" w:color="000000" w:fill="FFFFFF"/>
            <w:noWrap/>
            <w:vAlign w:val="center"/>
            <w:hideMark/>
          </w:tcPr>
          <w:p w14:paraId="310965C4" w14:textId="77777777" w:rsidR="006409C6" w:rsidRPr="00B009D6" w:rsidRDefault="006409C6" w:rsidP="009A457B">
            <w:pPr>
              <w:spacing w:after="0" w:line="240" w:lineRule="auto"/>
              <w:jc w:val="center"/>
              <w:rPr>
                <w:rFonts w:ascii="Arial" w:eastAsia="Times New Roman" w:hAnsi="Arial" w:cs="Arial"/>
                <w:color w:val="000000"/>
                <w:sz w:val="20"/>
                <w:szCs w:val="20"/>
              </w:rPr>
            </w:pPr>
            <w:r w:rsidRPr="00B009D6">
              <w:rPr>
                <w:rFonts w:ascii="Arial" w:eastAsia="Times New Roman" w:hAnsi="Arial" w:cs="Arial"/>
                <w:color w:val="000000"/>
                <w:sz w:val="20"/>
                <w:szCs w:val="20"/>
              </w:rPr>
              <w:t>75 554,60</w:t>
            </w:r>
          </w:p>
        </w:tc>
      </w:tr>
      <w:tr w:rsidR="006409C6" w:rsidRPr="00B009D6" w14:paraId="62350671" w14:textId="77777777" w:rsidTr="009A457B">
        <w:trPr>
          <w:trHeight w:val="417"/>
        </w:trPr>
        <w:tc>
          <w:tcPr>
            <w:tcW w:w="1500" w:type="dxa"/>
            <w:tcBorders>
              <w:top w:val="nil"/>
              <w:left w:val="single" w:sz="4" w:space="0" w:color="auto"/>
              <w:bottom w:val="single" w:sz="4" w:space="0" w:color="auto"/>
              <w:right w:val="single" w:sz="4" w:space="0" w:color="auto"/>
            </w:tcBorders>
            <w:shd w:val="clear" w:color="000000" w:fill="FFFFFF"/>
            <w:noWrap/>
            <w:hideMark/>
          </w:tcPr>
          <w:p w14:paraId="08F4B7DC" w14:textId="77777777" w:rsidR="006409C6" w:rsidRPr="00B009D6" w:rsidRDefault="006409C6" w:rsidP="009A457B">
            <w:pPr>
              <w:spacing w:after="0" w:line="240" w:lineRule="auto"/>
              <w:jc w:val="right"/>
              <w:rPr>
                <w:rFonts w:ascii="Arial" w:eastAsia="Times New Roman" w:hAnsi="Arial" w:cs="Arial"/>
                <w:color w:val="000000"/>
                <w:sz w:val="20"/>
                <w:szCs w:val="20"/>
              </w:rPr>
            </w:pPr>
            <w:r w:rsidRPr="00B009D6">
              <w:rPr>
                <w:rFonts w:ascii="Arial" w:eastAsia="Times New Roman" w:hAnsi="Arial" w:cs="Arial"/>
                <w:color w:val="000000"/>
                <w:sz w:val="20"/>
                <w:szCs w:val="20"/>
              </w:rPr>
              <w:t>10222</w:t>
            </w:r>
          </w:p>
        </w:tc>
        <w:tc>
          <w:tcPr>
            <w:tcW w:w="4118" w:type="dxa"/>
            <w:tcBorders>
              <w:top w:val="nil"/>
              <w:left w:val="nil"/>
              <w:bottom w:val="single" w:sz="4" w:space="0" w:color="auto"/>
              <w:right w:val="single" w:sz="4" w:space="0" w:color="auto"/>
            </w:tcBorders>
            <w:shd w:val="clear" w:color="000000" w:fill="FFFFFF"/>
            <w:noWrap/>
            <w:hideMark/>
          </w:tcPr>
          <w:p w14:paraId="2F3E38FB" w14:textId="77777777" w:rsidR="006409C6" w:rsidRPr="00B009D6" w:rsidRDefault="006409C6" w:rsidP="009A457B">
            <w:pPr>
              <w:spacing w:after="0" w:line="240" w:lineRule="auto"/>
              <w:jc w:val="right"/>
              <w:rPr>
                <w:rFonts w:ascii="Arial" w:eastAsia="Times New Roman" w:hAnsi="Arial" w:cs="Arial"/>
                <w:color w:val="000000"/>
                <w:sz w:val="20"/>
                <w:szCs w:val="20"/>
              </w:rPr>
            </w:pPr>
            <w:r w:rsidRPr="00B009D6">
              <w:rPr>
                <w:rFonts w:ascii="Arial" w:eastAsia="Times New Roman" w:hAnsi="Arial" w:cs="Arial"/>
                <w:color w:val="000000"/>
                <w:sz w:val="20"/>
                <w:szCs w:val="20"/>
              </w:rPr>
              <w:t>F.C.T.V.A.</w:t>
            </w:r>
          </w:p>
        </w:tc>
        <w:tc>
          <w:tcPr>
            <w:tcW w:w="2998" w:type="dxa"/>
            <w:tcBorders>
              <w:top w:val="nil"/>
              <w:left w:val="nil"/>
              <w:bottom w:val="single" w:sz="4" w:space="0" w:color="auto"/>
              <w:right w:val="single" w:sz="4" w:space="0" w:color="auto"/>
            </w:tcBorders>
            <w:shd w:val="clear" w:color="000000" w:fill="FFFFFF"/>
            <w:noWrap/>
            <w:vAlign w:val="center"/>
            <w:hideMark/>
          </w:tcPr>
          <w:p w14:paraId="011CC8A8" w14:textId="77777777" w:rsidR="006409C6" w:rsidRPr="00B009D6" w:rsidRDefault="006409C6" w:rsidP="009A457B">
            <w:pPr>
              <w:spacing w:after="0" w:line="240" w:lineRule="auto"/>
              <w:jc w:val="center"/>
              <w:rPr>
                <w:rFonts w:ascii="Arial" w:eastAsia="Times New Roman" w:hAnsi="Arial" w:cs="Arial"/>
                <w:color w:val="000000"/>
                <w:sz w:val="20"/>
                <w:szCs w:val="20"/>
              </w:rPr>
            </w:pPr>
            <w:r w:rsidRPr="00B009D6">
              <w:rPr>
                <w:rFonts w:ascii="Arial" w:eastAsia="Times New Roman" w:hAnsi="Arial" w:cs="Arial"/>
                <w:color w:val="000000"/>
                <w:sz w:val="20"/>
                <w:szCs w:val="20"/>
              </w:rPr>
              <w:t>0,00</w:t>
            </w:r>
          </w:p>
        </w:tc>
        <w:tc>
          <w:tcPr>
            <w:tcW w:w="1602" w:type="dxa"/>
            <w:tcBorders>
              <w:top w:val="nil"/>
              <w:left w:val="nil"/>
              <w:bottom w:val="single" w:sz="4" w:space="0" w:color="auto"/>
              <w:right w:val="single" w:sz="4" w:space="0" w:color="auto"/>
            </w:tcBorders>
            <w:shd w:val="clear" w:color="000000" w:fill="FFFFFF"/>
            <w:noWrap/>
            <w:vAlign w:val="center"/>
            <w:hideMark/>
          </w:tcPr>
          <w:p w14:paraId="484A95D8" w14:textId="77777777" w:rsidR="006409C6" w:rsidRPr="00B009D6" w:rsidRDefault="006409C6" w:rsidP="009A457B">
            <w:pPr>
              <w:spacing w:after="0" w:line="240" w:lineRule="auto"/>
              <w:jc w:val="center"/>
              <w:rPr>
                <w:rFonts w:ascii="Arial" w:eastAsia="Times New Roman" w:hAnsi="Arial" w:cs="Arial"/>
                <w:color w:val="000000"/>
                <w:sz w:val="20"/>
                <w:szCs w:val="20"/>
              </w:rPr>
            </w:pPr>
            <w:r w:rsidRPr="00B009D6">
              <w:rPr>
                <w:rFonts w:ascii="Arial" w:eastAsia="Times New Roman" w:hAnsi="Arial" w:cs="Arial"/>
                <w:color w:val="000000"/>
                <w:sz w:val="20"/>
                <w:szCs w:val="20"/>
              </w:rPr>
              <w:t>0,00</w:t>
            </w:r>
          </w:p>
        </w:tc>
        <w:tc>
          <w:tcPr>
            <w:tcW w:w="1408" w:type="dxa"/>
            <w:tcBorders>
              <w:top w:val="nil"/>
              <w:left w:val="nil"/>
              <w:bottom w:val="single" w:sz="4" w:space="0" w:color="auto"/>
              <w:right w:val="single" w:sz="4" w:space="0" w:color="auto"/>
            </w:tcBorders>
            <w:shd w:val="clear" w:color="000000" w:fill="FFFFFF"/>
            <w:noWrap/>
            <w:vAlign w:val="center"/>
            <w:hideMark/>
          </w:tcPr>
          <w:p w14:paraId="70635DE0" w14:textId="77777777" w:rsidR="006409C6" w:rsidRPr="00B009D6" w:rsidRDefault="006409C6" w:rsidP="009A457B">
            <w:pPr>
              <w:spacing w:after="0" w:line="240" w:lineRule="auto"/>
              <w:jc w:val="center"/>
              <w:rPr>
                <w:rFonts w:ascii="Arial" w:eastAsia="Times New Roman" w:hAnsi="Arial" w:cs="Arial"/>
                <w:color w:val="000000"/>
                <w:sz w:val="20"/>
                <w:szCs w:val="20"/>
              </w:rPr>
            </w:pPr>
            <w:r w:rsidRPr="00B009D6">
              <w:rPr>
                <w:rFonts w:ascii="Arial" w:eastAsia="Times New Roman" w:hAnsi="Arial" w:cs="Arial"/>
                <w:color w:val="000000"/>
                <w:sz w:val="20"/>
                <w:szCs w:val="20"/>
              </w:rPr>
              <w:t>2 655,34</w:t>
            </w:r>
          </w:p>
        </w:tc>
        <w:tc>
          <w:tcPr>
            <w:tcW w:w="2655" w:type="dxa"/>
            <w:tcBorders>
              <w:top w:val="nil"/>
              <w:left w:val="nil"/>
              <w:bottom w:val="single" w:sz="4" w:space="0" w:color="auto"/>
              <w:right w:val="single" w:sz="4" w:space="0" w:color="auto"/>
            </w:tcBorders>
            <w:shd w:val="clear" w:color="000000" w:fill="FFFFFF"/>
            <w:noWrap/>
            <w:vAlign w:val="center"/>
            <w:hideMark/>
          </w:tcPr>
          <w:p w14:paraId="2F1560F3" w14:textId="77777777" w:rsidR="006409C6" w:rsidRPr="00B009D6" w:rsidRDefault="006409C6" w:rsidP="009A457B">
            <w:pPr>
              <w:spacing w:after="0" w:line="240" w:lineRule="auto"/>
              <w:jc w:val="center"/>
              <w:rPr>
                <w:rFonts w:ascii="Arial" w:eastAsia="Times New Roman" w:hAnsi="Arial" w:cs="Arial"/>
                <w:color w:val="000000"/>
                <w:sz w:val="20"/>
                <w:szCs w:val="20"/>
              </w:rPr>
            </w:pPr>
          </w:p>
        </w:tc>
      </w:tr>
      <w:tr w:rsidR="006409C6" w:rsidRPr="00B009D6" w14:paraId="0F31E865" w14:textId="77777777" w:rsidTr="009A457B">
        <w:trPr>
          <w:trHeight w:val="417"/>
        </w:trPr>
        <w:tc>
          <w:tcPr>
            <w:tcW w:w="1500" w:type="dxa"/>
            <w:tcBorders>
              <w:top w:val="nil"/>
              <w:left w:val="single" w:sz="4" w:space="0" w:color="auto"/>
              <w:bottom w:val="single" w:sz="4" w:space="0" w:color="auto"/>
              <w:right w:val="single" w:sz="4" w:space="0" w:color="auto"/>
            </w:tcBorders>
            <w:shd w:val="clear" w:color="000000" w:fill="FFFFFF"/>
            <w:noWrap/>
            <w:hideMark/>
          </w:tcPr>
          <w:p w14:paraId="274517C9" w14:textId="77777777" w:rsidR="006409C6" w:rsidRPr="00B009D6" w:rsidRDefault="006409C6" w:rsidP="009A457B">
            <w:pPr>
              <w:spacing w:after="0" w:line="240" w:lineRule="auto"/>
              <w:jc w:val="right"/>
              <w:rPr>
                <w:rFonts w:ascii="Arial" w:eastAsia="Times New Roman" w:hAnsi="Arial" w:cs="Arial"/>
                <w:color w:val="000000"/>
                <w:sz w:val="20"/>
                <w:szCs w:val="20"/>
              </w:rPr>
            </w:pPr>
            <w:r w:rsidRPr="00B009D6">
              <w:rPr>
                <w:rFonts w:ascii="Arial" w:eastAsia="Times New Roman" w:hAnsi="Arial" w:cs="Arial"/>
                <w:color w:val="000000"/>
                <w:sz w:val="20"/>
                <w:szCs w:val="20"/>
              </w:rPr>
              <w:t>2802</w:t>
            </w:r>
          </w:p>
        </w:tc>
        <w:tc>
          <w:tcPr>
            <w:tcW w:w="4118" w:type="dxa"/>
            <w:tcBorders>
              <w:top w:val="nil"/>
              <w:left w:val="nil"/>
              <w:bottom w:val="single" w:sz="4" w:space="0" w:color="auto"/>
              <w:right w:val="single" w:sz="4" w:space="0" w:color="auto"/>
            </w:tcBorders>
            <w:shd w:val="clear" w:color="000000" w:fill="FFFFFF"/>
            <w:noWrap/>
            <w:hideMark/>
          </w:tcPr>
          <w:p w14:paraId="20AE41BA" w14:textId="77777777" w:rsidR="006409C6" w:rsidRPr="00B009D6" w:rsidRDefault="006409C6" w:rsidP="009A457B">
            <w:pPr>
              <w:spacing w:after="0" w:line="240" w:lineRule="auto"/>
              <w:jc w:val="right"/>
              <w:rPr>
                <w:rFonts w:ascii="Arial" w:eastAsia="Times New Roman" w:hAnsi="Arial" w:cs="Arial"/>
                <w:color w:val="000000"/>
                <w:sz w:val="20"/>
                <w:szCs w:val="20"/>
              </w:rPr>
            </w:pPr>
            <w:r w:rsidRPr="00B009D6">
              <w:rPr>
                <w:rFonts w:ascii="Arial" w:eastAsia="Times New Roman" w:hAnsi="Arial" w:cs="Arial"/>
                <w:color w:val="000000"/>
                <w:sz w:val="20"/>
                <w:szCs w:val="20"/>
              </w:rPr>
              <w:t>FRAIS LIES A LA REAL.DES DOCS D'URBA,</w:t>
            </w:r>
            <w:r>
              <w:rPr>
                <w:rFonts w:ascii="Arial" w:eastAsia="Times New Roman" w:hAnsi="Arial" w:cs="Arial"/>
                <w:color w:val="000000"/>
                <w:sz w:val="20"/>
                <w:szCs w:val="20"/>
              </w:rPr>
              <w:t xml:space="preserve"> </w:t>
            </w:r>
            <w:r w:rsidRPr="00B009D6">
              <w:rPr>
                <w:rFonts w:ascii="Arial" w:eastAsia="Times New Roman" w:hAnsi="Arial" w:cs="Arial"/>
                <w:color w:val="000000"/>
                <w:sz w:val="20"/>
                <w:szCs w:val="20"/>
              </w:rPr>
              <w:t>NUM DU CADAST</w:t>
            </w:r>
          </w:p>
        </w:tc>
        <w:tc>
          <w:tcPr>
            <w:tcW w:w="2998" w:type="dxa"/>
            <w:tcBorders>
              <w:top w:val="nil"/>
              <w:left w:val="nil"/>
              <w:bottom w:val="single" w:sz="4" w:space="0" w:color="auto"/>
              <w:right w:val="single" w:sz="4" w:space="0" w:color="auto"/>
            </w:tcBorders>
            <w:shd w:val="clear" w:color="000000" w:fill="FFFFFF"/>
            <w:noWrap/>
            <w:vAlign w:val="center"/>
            <w:hideMark/>
          </w:tcPr>
          <w:p w14:paraId="581C4FE4" w14:textId="77777777" w:rsidR="006409C6" w:rsidRPr="00B009D6" w:rsidRDefault="006409C6" w:rsidP="009A457B">
            <w:pPr>
              <w:spacing w:after="0" w:line="240" w:lineRule="auto"/>
              <w:jc w:val="center"/>
              <w:rPr>
                <w:rFonts w:ascii="Arial" w:eastAsia="Times New Roman" w:hAnsi="Arial" w:cs="Arial"/>
                <w:color w:val="000000"/>
                <w:sz w:val="20"/>
                <w:szCs w:val="20"/>
              </w:rPr>
            </w:pPr>
            <w:r w:rsidRPr="00B009D6">
              <w:rPr>
                <w:rFonts w:ascii="Arial" w:eastAsia="Times New Roman" w:hAnsi="Arial" w:cs="Arial"/>
                <w:color w:val="000000"/>
                <w:sz w:val="20"/>
                <w:szCs w:val="20"/>
              </w:rPr>
              <w:t>35 000,00</w:t>
            </w:r>
          </w:p>
        </w:tc>
        <w:tc>
          <w:tcPr>
            <w:tcW w:w="1602" w:type="dxa"/>
            <w:tcBorders>
              <w:top w:val="nil"/>
              <w:left w:val="nil"/>
              <w:bottom w:val="single" w:sz="4" w:space="0" w:color="auto"/>
              <w:right w:val="single" w:sz="4" w:space="0" w:color="auto"/>
            </w:tcBorders>
            <w:shd w:val="clear" w:color="000000" w:fill="FFFFFF"/>
            <w:noWrap/>
            <w:vAlign w:val="center"/>
            <w:hideMark/>
          </w:tcPr>
          <w:p w14:paraId="5131B711" w14:textId="77777777" w:rsidR="006409C6" w:rsidRPr="00B009D6" w:rsidRDefault="006409C6" w:rsidP="009A457B">
            <w:pPr>
              <w:spacing w:after="0" w:line="240" w:lineRule="auto"/>
              <w:jc w:val="center"/>
              <w:rPr>
                <w:rFonts w:ascii="Arial" w:eastAsia="Times New Roman" w:hAnsi="Arial" w:cs="Arial"/>
                <w:color w:val="000000"/>
                <w:sz w:val="20"/>
                <w:szCs w:val="20"/>
              </w:rPr>
            </w:pPr>
            <w:r w:rsidRPr="00B009D6">
              <w:rPr>
                <w:rFonts w:ascii="Arial" w:eastAsia="Times New Roman" w:hAnsi="Arial" w:cs="Arial"/>
                <w:color w:val="000000"/>
                <w:sz w:val="20"/>
                <w:szCs w:val="20"/>
              </w:rPr>
              <w:t>35 000,00</w:t>
            </w:r>
          </w:p>
        </w:tc>
        <w:tc>
          <w:tcPr>
            <w:tcW w:w="1408" w:type="dxa"/>
            <w:tcBorders>
              <w:top w:val="nil"/>
              <w:left w:val="nil"/>
              <w:bottom w:val="single" w:sz="4" w:space="0" w:color="auto"/>
              <w:right w:val="single" w:sz="4" w:space="0" w:color="auto"/>
            </w:tcBorders>
            <w:shd w:val="clear" w:color="000000" w:fill="FFFFFF"/>
            <w:noWrap/>
            <w:vAlign w:val="center"/>
            <w:hideMark/>
          </w:tcPr>
          <w:p w14:paraId="7B48EDD3" w14:textId="77777777" w:rsidR="006409C6" w:rsidRPr="00B009D6" w:rsidRDefault="006409C6" w:rsidP="009A457B">
            <w:pPr>
              <w:spacing w:after="0" w:line="240" w:lineRule="auto"/>
              <w:jc w:val="center"/>
              <w:rPr>
                <w:rFonts w:ascii="Arial" w:eastAsia="Times New Roman" w:hAnsi="Arial" w:cs="Arial"/>
                <w:color w:val="000000"/>
                <w:sz w:val="20"/>
                <w:szCs w:val="20"/>
              </w:rPr>
            </w:pPr>
            <w:r w:rsidRPr="00B009D6">
              <w:rPr>
                <w:rFonts w:ascii="Arial" w:eastAsia="Times New Roman" w:hAnsi="Arial" w:cs="Arial"/>
                <w:color w:val="000000"/>
                <w:sz w:val="20"/>
                <w:szCs w:val="20"/>
              </w:rPr>
              <w:t>26 194,24</w:t>
            </w:r>
          </w:p>
        </w:tc>
        <w:tc>
          <w:tcPr>
            <w:tcW w:w="2655" w:type="dxa"/>
            <w:tcBorders>
              <w:top w:val="nil"/>
              <w:left w:val="nil"/>
              <w:bottom w:val="single" w:sz="4" w:space="0" w:color="auto"/>
              <w:right w:val="single" w:sz="4" w:space="0" w:color="auto"/>
            </w:tcBorders>
            <w:shd w:val="clear" w:color="000000" w:fill="FFFFFF"/>
            <w:noWrap/>
            <w:vAlign w:val="center"/>
            <w:hideMark/>
          </w:tcPr>
          <w:p w14:paraId="37D8B203" w14:textId="77777777" w:rsidR="006409C6" w:rsidRPr="00B009D6" w:rsidRDefault="006409C6" w:rsidP="009A457B">
            <w:pPr>
              <w:spacing w:after="0" w:line="240" w:lineRule="auto"/>
              <w:jc w:val="center"/>
              <w:rPr>
                <w:rFonts w:ascii="Arial" w:eastAsia="Times New Roman" w:hAnsi="Arial" w:cs="Arial"/>
                <w:color w:val="000000"/>
                <w:sz w:val="20"/>
                <w:szCs w:val="20"/>
              </w:rPr>
            </w:pPr>
            <w:r w:rsidRPr="00B009D6">
              <w:rPr>
                <w:rFonts w:ascii="Arial" w:eastAsia="Times New Roman" w:hAnsi="Arial" w:cs="Arial"/>
                <w:color w:val="000000"/>
                <w:sz w:val="20"/>
                <w:szCs w:val="20"/>
              </w:rPr>
              <w:t>30 000,00</w:t>
            </w:r>
          </w:p>
        </w:tc>
      </w:tr>
      <w:tr w:rsidR="006409C6" w:rsidRPr="00B009D6" w14:paraId="3DF47641" w14:textId="77777777" w:rsidTr="009A457B">
        <w:trPr>
          <w:trHeight w:val="417"/>
        </w:trPr>
        <w:tc>
          <w:tcPr>
            <w:tcW w:w="1500" w:type="dxa"/>
            <w:tcBorders>
              <w:top w:val="nil"/>
              <w:left w:val="single" w:sz="4" w:space="0" w:color="auto"/>
              <w:bottom w:val="single" w:sz="4" w:space="0" w:color="auto"/>
              <w:right w:val="single" w:sz="4" w:space="0" w:color="auto"/>
            </w:tcBorders>
            <w:shd w:val="clear" w:color="000000" w:fill="FFFFFF"/>
            <w:noWrap/>
            <w:hideMark/>
          </w:tcPr>
          <w:p w14:paraId="08AD333A" w14:textId="77777777" w:rsidR="006409C6" w:rsidRPr="00B009D6" w:rsidRDefault="006409C6" w:rsidP="009A457B">
            <w:pPr>
              <w:spacing w:after="0" w:line="240" w:lineRule="auto"/>
              <w:jc w:val="right"/>
              <w:rPr>
                <w:rFonts w:ascii="Arial" w:eastAsia="Times New Roman" w:hAnsi="Arial" w:cs="Arial"/>
                <w:color w:val="000000"/>
                <w:sz w:val="20"/>
                <w:szCs w:val="20"/>
              </w:rPr>
            </w:pPr>
            <w:r w:rsidRPr="00B009D6">
              <w:rPr>
                <w:rFonts w:ascii="Arial" w:eastAsia="Times New Roman" w:hAnsi="Arial" w:cs="Arial"/>
                <w:color w:val="000000"/>
                <w:sz w:val="20"/>
                <w:szCs w:val="20"/>
              </w:rPr>
              <w:t>28031</w:t>
            </w:r>
          </w:p>
        </w:tc>
        <w:tc>
          <w:tcPr>
            <w:tcW w:w="4118" w:type="dxa"/>
            <w:tcBorders>
              <w:top w:val="nil"/>
              <w:left w:val="nil"/>
              <w:bottom w:val="single" w:sz="4" w:space="0" w:color="auto"/>
              <w:right w:val="single" w:sz="4" w:space="0" w:color="auto"/>
            </w:tcBorders>
            <w:shd w:val="clear" w:color="000000" w:fill="FFFFFF"/>
            <w:noWrap/>
            <w:hideMark/>
          </w:tcPr>
          <w:p w14:paraId="7792E4F3" w14:textId="77777777" w:rsidR="006409C6" w:rsidRPr="00B009D6" w:rsidRDefault="006409C6" w:rsidP="009A457B">
            <w:pPr>
              <w:spacing w:after="0" w:line="240" w:lineRule="auto"/>
              <w:jc w:val="right"/>
              <w:rPr>
                <w:rFonts w:ascii="Arial" w:eastAsia="Times New Roman" w:hAnsi="Arial" w:cs="Arial"/>
                <w:color w:val="000000"/>
                <w:sz w:val="20"/>
                <w:szCs w:val="20"/>
              </w:rPr>
            </w:pPr>
            <w:r w:rsidRPr="00B009D6">
              <w:rPr>
                <w:rFonts w:ascii="Arial" w:eastAsia="Times New Roman" w:hAnsi="Arial" w:cs="Arial"/>
                <w:color w:val="000000"/>
                <w:sz w:val="20"/>
                <w:szCs w:val="20"/>
              </w:rPr>
              <w:t>FRAIS D'ETUDES</w:t>
            </w:r>
          </w:p>
        </w:tc>
        <w:tc>
          <w:tcPr>
            <w:tcW w:w="2998" w:type="dxa"/>
            <w:tcBorders>
              <w:top w:val="nil"/>
              <w:left w:val="nil"/>
              <w:bottom w:val="single" w:sz="4" w:space="0" w:color="auto"/>
              <w:right w:val="single" w:sz="4" w:space="0" w:color="auto"/>
            </w:tcBorders>
            <w:shd w:val="clear" w:color="000000" w:fill="FFFFFF"/>
            <w:noWrap/>
            <w:vAlign w:val="center"/>
            <w:hideMark/>
          </w:tcPr>
          <w:p w14:paraId="596636E9" w14:textId="77777777" w:rsidR="006409C6" w:rsidRPr="00B009D6" w:rsidRDefault="006409C6" w:rsidP="009A457B">
            <w:pPr>
              <w:spacing w:after="0" w:line="240" w:lineRule="auto"/>
              <w:jc w:val="center"/>
              <w:rPr>
                <w:rFonts w:ascii="Arial" w:eastAsia="Times New Roman" w:hAnsi="Arial" w:cs="Arial"/>
                <w:color w:val="000000"/>
                <w:sz w:val="20"/>
                <w:szCs w:val="20"/>
              </w:rPr>
            </w:pPr>
            <w:r w:rsidRPr="00B009D6">
              <w:rPr>
                <w:rFonts w:ascii="Arial" w:eastAsia="Times New Roman" w:hAnsi="Arial" w:cs="Arial"/>
                <w:color w:val="000000"/>
                <w:sz w:val="20"/>
                <w:szCs w:val="20"/>
              </w:rPr>
              <w:t>15 000,00</w:t>
            </w:r>
          </w:p>
        </w:tc>
        <w:tc>
          <w:tcPr>
            <w:tcW w:w="1602" w:type="dxa"/>
            <w:tcBorders>
              <w:top w:val="nil"/>
              <w:left w:val="nil"/>
              <w:bottom w:val="single" w:sz="4" w:space="0" w:color="auto"/>
              <w:right w:val="single" w:sz="4" w:space="0" w:color="auto"/>
            </w:tcBorders>
            <w:shd w:val="clear" w:color="000000" w:fill="FFFFFF"/>
            <w:noWrap/>
            <w:vAlign w:val="center"/>
            <w:hideMark/>
          </w:tcPr>
          <w:p w14:paraId="41557391" w14:textId="77777777" w:rsidR="006409C6" w:rsidRPr="00B009D6" w:rsidRDefault="006409C6" w:rsidP="009A457B">
            <w:pPr>
              <w:spacing w:after="0" w:line="240" w:lineRule="auto"/>
              <w:jc w:val="center"/>
              <w:rPr>
                <w:rFonts w:ascii="Arial" w:eastAsia="Times New Roman" w:hAnsi="Arial" w:cs="Arial"/>
                <w:color w:val="000000"/>
                <w:sz w:val="20"/>
                <w:szCs w:val="20"/>
              </w:rPr>
            </w:pPr>
            <w:r w:rsidRPr="00B009D6">
              <w:rPr>
                <w:rFonts w:ascii="Arial" w:eastAsia="Times New Roman" w:hAnsi="Arial" w:cs="Arial"/>
                <w:color w:val="000000"/>
                <w:sz w:val="20"/>
                <w:szCs w:val="20"/>
              </w:rPr>
              <w:t>15 000,00</w:t>
            </w:r>
          </w:p>
        </w:tc>
        <w:tc>
          <w:tcPr>
            <w:tcW w:w="1408" w:type="dxa"/>
            <w:tcBorders>
              <w:top w:val="nil"/>
              <w:left w:val="nil"/>
              <w:bottom w:val="single" w:sz="4" w:space="0" w:color="auto"/>
              <w:right w:val="single" w:sz="4" w:space="0" w:color="auto"/>
            </w:tcBorders>
            <w:shd w:val="clear" w:color="000000" w:fill="FFFFFF"/>
            <w:noWrap/>
            <w:vAlign w:val="center"/>
            <w:hideMark/>
          </w:tcPr>
          <w:p w14:paraId="063F633C" w14:textId="77777777" w:rsidR="006409C6" w:rsidRPr="00B009D6" w:rsidRDefault="006409C6" w:rsidP="009A457B">
            <w:pPr>
              <w:spacing w:after="0" w:line="240" w:lineRule="auto"/>
              <w:jc w:val="center"/>
              <w:rPr>
                <w:rFonts w:ascii="Arial" w:eastAsia="Times New Roman" w:hAnsi="Arial" w:cs="Arial"/>
                <w:color w:val="000000"/>
                <w:sz w:val="20"/>
                <w:szCs w:val="20"/>
              </w:rPr>
            </w:pPr>
            <w:r w:rsidRPr="00B009D6">
              <w:rPr>
                <w:rFonts w:ascii="Arial" w:eastAsia="Times New Roman" w:hAnsi="Arial" w:cs="Arial"/>
                <w:color w:val="000000"/>
                <w:sz w:val="20"/>
                <w:szCs w:val="20"/>
              </w:rPr>
              <w:t>0,00</w:t>
            </w:r>
          </w:p>
        </w:tc>
        <w:tc>
          <w:tcPr>
            <w:tcW w:w="2655" w:type="dxa"/>
            <w:tcBorders>
              <w:top w:val="nil"/>
              <w:left w:val="nil"/>
              <w:bottom w:val="single" w:sz="4" w:space="0" w:color="auto"/>
              <w:right w:val="single" w:sz="4" w:space="0" w:color="auto"/>
            </w:tcBorders>
            <w:shd w:val="clear" w:color="000000" w:fill="FFFFFF"/>
            <w:noWrap/>
            <w:vAlign w:val="center"/>
            <w:hideMark/>
          </w:tcPr>
          <w:p w14:paraId="48CEBB4E" w14:textId="77777777" w:rsidR="006409C6" w:rsidRPr="00B009D6" w:rsidRDefault="006409C6" w:rsidP="009A457B">
            <w:pPr>
              <w:spacing w:after="0" w:line="240" w:lineRule="auto"/>
              <w:jc w:val="center"/>
              <w:rPr>
                <w:rFonts w:ascii="Arial" w:eastAsia="Times New Roman" w:hAnsi="Arial" w:cs="Arial"/>
                <w:color w:val="000000"/>
                <w:sz w:val="20"/>
                <w:szCs w:val="20"/>
              </w:rPr>
            </w:pPr>
          </w:p>
        </w:tc>
      </w:tr>
      <w:tr w:rsidR="006409C6" w:rsidRPr="00B009D6" w14:paraId="3FCC104B" w14:textId="77777777" w:rsidTr="009A457B">
        <w:trPr>
          <w:trHeight w:val="417"/>
        </w:trPr>
        <w:tc>
          <w:tcPr>
            <w:tcW w:w="1500" w:type="dxa"/>
            <w:tcBorders>
              <w:top w:val="nil"/>
              <w:left w:val="single" w:sz="4" w:space="0" w:color="auto"/>
              <w:bottom w:val="single" w:sz="4" w:space="0" w:color="auto"/>
              <w:right w:val="single" w:sz="4" w:space="0" w:color="auto"/>
            </w:tcBorders>
            <w:shd w:val="clear" w:color="000000" w:fill="FFFFFF"/>
            <w:noWrap/>
            <w:hideMark/>
          </w:tcPr>
          <w:p w14:paraId="66696A10" w14:textId="77777777" w:rsidR="006409C6" w:rsidRPr="00B009D6" w:rsidRDefault="006409C6" w:rsidP="009A457B">
            <w:pPr>
              <w:spacing w:after="0" w:line="240" w:lineRule="auto"/>
              <w:jc w:val="right"/>
              <w:rPr>
                <w:rFonts w:ascii="Arial" w:eastAsia="Times New Roman" w:hAnsi="Arial" w:cs="Arial"/>
                <w:color w:val="000000"/>
                <w:sz w:val="20"/>
                <w:szCs w:val="20"/>
              </w:rPr>
            </w:pPr>
            <w:r w:rsidRPr="00B009D6">
              <w:rPr>
                <w:rFonts w:ascii="Arial" w:eastAsia="Times New Roman" w:hAnsi="Arial" w:cs="Arial"/>
                <w:color w:val="000000"/>
                <w:sz w:val="20"/>
                <w:szCs w:val="20"/>
              </w:rPr>
              <w:t> </w:t>
            </w:r>
          </w:p>
        </w:tc>
        <w:tc>
          <w:tcPr>
            <w:tcW w:w="4118" w:type="dxa"/>
            <w:tcBorders>
              <w:top w:val="nil"/>
              <w:left w:val="nil"/>
              <w:bottom w:val="single" w:sz="4" w:space="0" w:color="auto"/>
              <w:right w:val="single" w:sz="4" w:space="0" w:color="auto"/>
            </w:tcBorders>
            <w:shd w:val="clear" w:color="000000" w:fill="FFFFFF"/>
            <w:noWrap/>
            <w:hideMark/>
          </w:tcPr>
          <w:p w14:paraId="7516C878" w14:textId="77777777" w:rsidR="006409C6" w:rsidRPr="00B009D6" w:rsidRDefault="006409C6" w:rsidP="009A457B">
            <w:pPr>
              <w:spacing w:after="0" w:line="240" w:lineRule="auto"/>
              <w:jc w:val="right"/>
              <w:rPr>
                <w:rFonts w:ascii="Arial" w:eastAsia="Times New Roman" w:hAnsi="Arial" w:cs="Arial"/>
                <w:color w:val="000000"/>
                <w:sz w:val="20"/>
                <w:szCs w:val="20"/>
              </w:rPr>
            </w:pPr>
            <w:r w:rsidRPr="00B009D6">
              <w:rPr>
                <w:rFonts w:ascii="Arial" w:eastAsia="Times New Roman" w:hAnsi="Arial" w:cs="Arial"/>
                <w:color w:val="000000"/>
                <w:sz w:val="20"/>
                <w:szCs w:val="20"/>
              </w:rPr>
              <w:t>SUBV SCHEMA DIRECTEUR</w:t>
            </w:r>
          </w:p>
        </w:tc>
        <w:tc>
          <w:tcPr>
            <w:tcW w:w="2998" w:type="dxa"/>
            <w:tcBorders>
              <w:top w:val="nil"/>
              <w:left w:val="nil"/>
              <w:bottom w:val="single" w:sz="4" w:space="0" w:color="auto"/>
              <w:right w:val="single" w:sz="4" w:space="0" w:color="auto"/>
            </w:tcBorders>
            <w:shd w:val="clear" w:color="000000" w:fill="FFFFFF"/>
            <w:noWrap/>
            <w:vAlign w:val="center"/>
            <w:hideMark/>
          </w:tcPr>
          <w:p w14:paraId="06158993" w14:textId="77777777" w:rsidR="006409C6" w:rsidRPr="00B009D6" w:rsidRDefault="006409C6" w:rsidP="009A457B">
            <w:pPr>
              <w:spacing w:after="0" w:line="240" w:lineRule="auto"/>
              <w:jc w:val="center"/>
              <w:rPr>
                <w:rFonts w:ascii="Arial" w:eastAsia="Times New Roman" w:hAnsi="Arial" w:cs="Arial"/>
                <w:color w:val="000000"/>
                <w:sz w:val="20"/>
                <w:szCs w:val="20"/>
              </w:rPr>
            </w:pPr>
          </w:p>
        </w:tc>
        <w:tc>
          <w:tcPr>
            <w:tcW w:w="1602" w:type="dxa"/>
            <w:tcBorders>
              <w:top w:val="nil"/>
              <w:left w:val="nil"/>
              <w:bottom w:val="single" w:sz="4" w:space="0" w:color="auto"/>
              <w:right w:val="single" w:sz="4" w:space="0" w:color="auto"/>
            </w:tcBorders>
            <w:shd w:val="clear" w:color="000000" w:fill="FFFFFF"/>
            <w:noWrap/>
            <w:vAlign w:val="center"/>
            <w:hideMark/>
          </w:tcPr>
          <w:p w14:paraId="034B8820" w14:textId="77777777" w:rsidR="006409C6" w:rsidRPr="00B009D6" w:rsidRDefault="006409C6" w:rsidP="009A457B">
            <w:pPr>
              <w:spacing w:after="0" w:line="240" w:lineRule="auto"/>
              <w:jc w:val="center"/>
              <w:rPr>
                <w:rFonts w:ascii="Arial" w:eastAsia="Times New Roman" w:hAnsi="Arial" w:cs="Arial"/>
                <w:color w:val="000000"/>
                <w:sz w:val="20"/>
                <w:szCs w:val="20"/>
              </w:rPr>
            </w:pPr>
          </w:p>
        </w:tc>
        <w:tc>
          <w:tcPr>
            <w:tcW w:w="1408" w:type="dxa"/>
            <w:tcBorders>
              <w:top w:val="nil"/>
              <w:left w:val="nil"/>
              <w:bottom w:val="single" w:sz="4" w:space="0" w:color="auto"/>
              <w:right w:val="single" w:sz="4" w:space="0" w:color="auto"/>
            </w:tcBorders>
            <w:shd w:val="clear" w:color="000000" w:fill="FFFFFF"/>
            <w:noWrap/>
            <w:vAlign w:val="center"/>
            <w:hideMark/>
          </w:tcPr>
          <w:p w14:paraId="03B1DE30" w14:textId="77777777" w:rsidR="006409C6" w:rsidRPr="00B009D6" w:rsidRDefault="006409C6" w:rsidP="009A457B">
            <w:pPr>
              <w:spacing w:after="0" w:line="240" w:lineRule="auto"/>
              <w:jc w:val="center"/>
              <w:rPr>
                <w:rFonts w:ascii="Arial" w:eastAsia="Times New Roman" w:hAnsi="Arial" w:cs="Arial"/>
                <w:color w:val="000000"/>
                <w:sz w:val="20"/>
                <w:szCs w:val="20"/>
              </w:rPr>
            </w:pPr>
          </w:p>
        </w:tc>
        <w:tc>
          <w:tcPr>
            <w:tcW w:w="2655" w:type="dxa"/>
            <w:tcBorders>
              <w:top w:val="nil"/>
              <w:left w:val="nil"/>
              <w:bottom w:val="single" w:sz="4" w:space="0" w:color="auto"/>
              <w:right w:val="single" w:sz="4" w:space="0" w:color="auto"/>
            </w:tcBorders>
            <w:shd w:val="clear" w:color="000000" w:fill="FFFFFF"/>
            <w:noWrap/>
            <w:vAlign w:val="center"/>
            <w:hideMark/>
          </w:tcPr>
          <w:p w14:paraId="59A59182" w14:textId="77777777" w:rsidR="006409C6" w:rsidRPr="00B009D6" w:rsidRDefault="006409C6" w:rsidP="009A457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Attente notifications</w:t>
            </w:r>
          </w:p>
        </w:tc>
      </w:tr>
      <w:tr w:rsidR="006409C6" w:rsidRPr="00B009D6" w14:paraId="082E9B69" w14:textId="77777777" w:rsidTr="009A457B">
        <w:trPr>
          <w:trHeight w:val="417"/>
        </w:trPr>
        <w:tc>
          <w:tcPr>
            <w:tcW w:w="1500" w:type="dxa"/>
            <w:tcBorders>
              <w:top w:val="nil"/>
              <w:left w:val="single" w:sz="4" w:space="0" w:color="auto"/>
              <w:bottom w:val="single" w:sz="4" w:space="0" w:color="auto"/>
              <w:right w:val="nil"/>
            </w:tcBorders>
            <w:shd w:val="clear" w:color="000000" w:fill="FFFFFF"/>
            <w:noWrap/>
            <w:vAlign w:val="center"/>
            <w:hideMark/>
          </w:tcPr>
          <w:p w14:paraId="1299E344" w14:textId="77777777" w:rsidR="006409C6" w:rsidRPr="00B009D6" w:rsidRDefault="006409C6" w:rsidP="009A457B">
            <w:pPr>
              <w:spacing w:after="0" w:line="240" w:lineRule="auto"/>
              <w:jc w:val="center"/>
              <w:rPr>
                <w:rFonts w:ascii="Arial" w:eastAsia="Times New Roman" w:hAnsi="Arial" w:cs="Arial"/>
                <w:b/>
                <w:bCs/>
                <w:color w:val="000000"/>
                <w:sz w:val="20"/>
                <w:szCs w:val="20"/>
              </w:rPr>
            </w:pPr>
          </w:p>
        </w:tc>
        <w:tc>
          <w:tcPr>
            <w:tcW w:w="4118" w:type="dxa"/>
            <w:tcBorders>
              <w:top w:val="nil"/>
              <w:left w:val="nil"/>
              <w:bottom w:val="single" w:sz="4" w:space="0" w:color="auto"/>
              <w:right w:val="single" w:sz="4" w:space="0" w:color="auto"/>
            </w:tcBorders>
            <w:shd w:val="clear" w:color="000000" w:fill="FFFFFF"/>
            <w:noWrap/>
            <w:vAlign w:val="center"/>
            <w:hideMark/>
          </w:tcPr>
          <w:p w14:paraId="34B06F43" w14:textId="77777777" w:rsidR="006409C6" w:rsidRPr="00B009D6" w:rsidRDefault="006409C6" w:rsidP="009A457B">
            <w:pPr>
              <w:spacing w:after="0" w:line="240" w:lineRule="auto"/>
              <w:jc w:val="center"/>
              <w:rPr>
                <w:rFonts w:ascii="Arial" w:eastAsia="Times New Roman" w:hAnsi="Arial" w:cs="Arial"/>
                <w:b/>
                <w:bCs/>
                <w:color w:val="000000"/>
                <w:sz w:val="20"/>
                <w:szCs w:val="20"/>
              </w:rPr>
            </w:pPr>
            <w:r w:rsidRPr="00B009D6">
              <w:rPr>
                <w:rFonts w:ascii="Arial" w:eastAsia="Times New Roman" w:hAnsi="Arial" w:cs="Arial"/>
                <w:b/>
                <w:bCs/>
                <w:color w:val="000000"/>
                <w:sz w:val="20"/>
                <w:szCs w:val="20"/>
              </w:rPr>
              <w:t>Total</w:t>
            </w:r>
          </w:p>
        </w:tc>
        <w:tc>
          <w:tcPr>
            <w:tcW w:w="2998" w:type="dxa"/>
            <w:tcBorders>
              <w:top w:val="nil"/>
              <w:left w:val="nil"/>
              <w:bottom w:val="single" w:sz="4" w:space="0" w:color="auto"/>
              <w:right w:val="single" w:sz="4" w:space="0" w:color="auto"/>
            </w:tcBorders>
            <w:shd w:val="clear" w:color="000000" w:fill="FFFFFF"/>
            <w:noWrap/>
            <w:vAlign w:val="center"/>
            <w:hideMark/>
          </w:tcPr>
          <w:p w14:paraId="6FA922B9" w14:textId="77777777" w:rsidR="006409C6" w:rsidRPr="00B009D6" w:rsidRDefault="006409C6" w:rsidP="009A457B">
            <w:pPr>
              <w:spacing w:after="0" w:line="240" w:lineRule="auto"/>
              <w:jc w:val="center"/>
              <w:rPr>
                <w:rFonts w:ascii="Arial" w:eastAsia="Times New Roman" w:hAnsi="Arial" w:cs="Arial"/>
                <w:b/>
                <w:bCs/>
                <w:color w:val="000000"/>
                <w:sz w:val="20"/>
                <w:szCs w:val="20"/>
              </w:rPr>
            </w:pPr>
            <w:r w:rsidRPr="00B009D6">
              <w:rPr>
                <w:rFonts w:ascii="Arial" w:eastAsia="Times New Roman" w:hAnsi="Arial" w:cs="Arial"/>
                <w:b/>
                <w:bCs/>
                <w:color w:val="000000"/>
                <w:sz w:val="20"/>
                <w:szCs w:val="20"/>
              </w:rPr>
              <w:t>134 021,72</w:t>
            </w:r>
          </w:p>
        </w:tc>
        <w:tc>
          <w:tcPr>
            <w:tcW w:w="1602" w:type="dxa"/>
            <w:tcBorders>
              <w:top w:val="nil"/>
              <w:left w:val="nil"/>
              <w:bottom w:val="single" w:sz="4" w:space="0" w:color="auto"/>
              <w:right w:val="single" w:sz="4" w:space="0" w:color="auto"/>
            </w:tcBorders>
            <w:shd w:val="clear" w:color="000000" w:fill="FFFFFF"/>
            <w:noWrap/>
            <w:vAlign w:val="center"/>
            <w:hideMark/>
          </w:tcPr>
          <w:p w14:paraId="46A5F4B0" w14:textId="77777777" w:rsidR="006409C6" w:rsidRPr="00B009D6" w:rsidRDefault="006409C6" w:rsidP="009A457B">
            <w:pPr>
              <w:spacing w:after="0" w:line="240" w:lineRule="auto"/>
              <w:jc w:val="center"/>
              <w:rPr>
                <w:rFonts w:ascii="Arial" w:eastAsia="Times New Roman" w:hAnsi="Arial" w:cs="Arial"/>
                <w:b/>
                <w:bCs/>
                <w:color w:val="000000"/>
                <w:sz w:val="20"/>
                <w:szCs w:val="20"/>
              </w:rPr>
            </w:pPr>
            <w:r w:rsidRPr="00B009D6">
              <w:rPr>
                <w:rFonts w:ascii="Arial" w:eastAsia="Times New Roman" w:hAnsi="Arial" w:cs="Arial"/>
                <w:b/>
                <w:bCs/>
                <w:color w:val="000000"/>
                <w:sz w:val="20"/>
                <w:szCs w:val="20"/>
              </w:rPr>
              <w:t>134 021,72</w:t>
            </w:r>
          </w:p>
        </w:tc>
        <w:tc>
          <w:tcPr>
            <w:tcW w:w="1408" w:type="dxa"/>
            <w:tcBorders>
              <w:top w:val="nil"/>
              <w:left w:val="nil"/>
              <w:bottom w:val="single" w:sz="4" w:space="0" w:color="auto"/>
              <w:right w:val="single" w:sz="4" w:space="0" w:color="auto"/>
            </w:tcBorders>
            <w:shd w:val="clear" w:color="000000" w:fill="FFFFFF"/>
            <w:noWrap/>
            <w:vAlign w:val="center"/>
            <w:hideMark/>
          </w:tcPr>
          <w:p w14:paraId="67A8E9EA" w14:textId="77777777" w:rsidR="006409C6" w:rsidRPr="00B009D6" w:rsidRDefault="006409C6" w:rsidP="009A457B">
            <w:pPr>
              <w:spacing w:after="0" w:line="240" w:lineRule="auto"/>
              <w:jc w:val="center"/>
              <w:rPr>
                <w:rFonts w:ascii="Arial" w:eastAsia="Times New Roman" w:hAnsi="Arial" w:cs="Arial"/>
                <w:b/>
                <w:bCs/>
                <w:color w:val="000000"/>
                <w:sz w:val="20"/>
                <w:szCs w:val="20"/>
              </w:rPr>
            </w:pPr>
            <w:r w:rsidRPr="00B009D6">
              <w:rPr>
                <w:rFonts w:ascii="Arial" w:eastAsia="Times New Roman" w:hAnsi="Arial" w:cs="Arial"/>
                <w:b/>
                <w:bCs/>
                <w:color w:val="000000"/>
                <w:sz w:val="20"/>
                <w:szCs w:val="20"/>
              </w:rPr>
              <w:t>28 849,58</w:t>
            </w:r>
          </w:p>
        </w:tc>
        <w:tc>
          <w:tcPr>
            <w:tcW w:w="2655" w:type="dxa"/>
            <w:tcBorders>
              <w:top w:val="nil"/>
              <w:left w:val="nil"/>
              <w:bottom w:val="single" w:sz="4" w:space="0" w:color="auto"/>
              <w:right w:val="single" w:sz="4" w:space="0" w:color="auto"/>
            </w:tcBorders>
            <w:shd w:val="clear" w:color="000000" w:fill="FFFFFF"/>
            <w:noWrap/>
            <w:vAlign w:val="center"/>
            <w:hideMark/>
          </w:tcPr>
          <w:p w14:paraId="56229803" w14:textId="77777777" w:rsidR="006409C6" w:rsidRPr="00B009D6" w:rsidRDefault="006409C6" w:rsidP="009A457B">
            <w:pPr>
              <w:spacing w:after="0" w:line="240" w:lineRule="auto"/>
              <w:jc w:val="center"/>
              <w:rPr>
                <w:rFonts w:ascii="Arial" w:eastAsia="Times New Roman" w:hAnsi="Arial" w:cs="Arial"/>
                <w:b/>
                <w:bCs/>
                <w:color w:val="000000"/>
                <w:sz w:val="20"/>
                <w:szCs w:val="20"/>
              </w:rPr>
            </w:pPr>
            <w:r w:rsidRPr="00B009D6">
              <w:rPr>
                <w:rFonts w:ascii="Arial" w:eastAsia="Times New Roman" w:hAnsi="Arial" w:cs="Arial"/>
                <w:b/>
                <w:bCs/>
                <w:color w:val="000000"/>
                <w:sz w:val="20"/>
                <w:szCs w:val="20"/>
              </w:rPr>
              <w:t>105 554,60</w:t>
            </w:r>
          </w:p>
        </w:tc>
      </w:tr>
    </w:tbl>
    <w:p w14:paraId="7F0CC955" w14:textId="77777777" w:rsidR="006409C6" w:rsidRDefault="006409C6" w:rsidP="006409C6">
      <w:pPr>
        <w:spacing w:line="240" w:lineRule="auto"/>
        <w:jc w:val="both"/>
        <w:rPr>
          <w:rFonts w:ascii="Times New Roman" w:hAnsi="Times New Roman" w:cs="Times New Roman"/>
          <w:sz w:val="24"/>
          <w:szCs w:val="24"/>
        </w:rPr>
      </w:pPr>
    </w:p>
    <w:p w14:paraId="2894B8F1" w14:textId="77777777" w:rsidR="006409C6" w:rsidRDefault="006409C6" w:rsidP="006409C6">
      <w:pPr>
        <w:spacing w:line="240" w:lineRule="auto"/>
        <w:jc w:val="both"/>
        <w:rPr>
          <w:rFonts w:ascii="Times New Roman" w:hAnsi="Times New Roman" w:cs="Times New Roman"/>
          <w:sz w:val="24"/>
          <w:szCs w:val="24"/>
        </w:rPr>
      </w:pPr>
      <w:r>
        <w:rPr>
          <w:rFonts w:ascii="Times New Roman" w:hAnsi="Times New Roman" w:cs="Times New Roman"/>
          <w:sz w:val="24"/>
          <w:szCs w:val="24"/>
        </w:rPr>
        <w:t>Le résultat d’investissement reporté s’établissait à 84 024,72 euros au 1</w:t>
      </w:r>
      <w:r w:rsidRPr="006F12ED">
        <w:rPr>
          <w:rFonts w:ascii="Times New Roman" w:hAnsi="Times New Roman" w:cs="Times New Roman"/>
          <w:sz w:val="24"/>
          <w:szCs w:val="24"/>
          <w:vertAlign w:val="superscript"/>
        </w:rPr>
        <w:t>er</w:t>
      </w:r>
      <w:r>
        <w:rPr>
          <w:rFonts w:ascii="Times New Roman" w:hAnsi="Times New Roman" w:cs="Times New Roman"/>
          <w:sz w:val="24"/>
          <w:szCs w:val="24"/>
        </w:rPr>
        <w:t xml:space="preserve"> janvier 2024, après un résultat de – 8 467,12 euros, il s’établit à 75 554,60 euros au 31 décembre 2024. Cette diminution s’explique par la volonté de limiter l’augmentation des cotisations sur l’année 2024 en ponctionnant une partie de l’excédent.</w:t>
      </w:r>
    </w:p>
    <w:p w14:paraId="6C87C127" w14:textId="77777777" w:rsidR="006409C6" w:rsidRPr="00D00E37" w:rsidRDefault="006409C6" w:rsidP="006409C6">
      <w:pPr>
        <w:spacing w:line="240" w:lineRule="auto"/>
        <w:jc w:val="both"/>
        <w:rPr>
          <w:rFonts w:ascii="Times New Roman" w:hAnsi="Times New Roman" w:cs="Times New Roman"/>
          <w:sz w:val="24"/>
          <w:szCs w:val="24"/>
        </w:rPr>
      </w:pPr>
    </w:p>
    <w:p w14:paraId="2F09D993" w14:textId="77777777" w:rsidR="006409C6" w:rsidRDefault="006409C6" w:rsidP="006409C6">
      <w:pPr>
        <w:spacing w:line="240" w:lineRule="auto"/>
        <w:jc w:val="both"/>
        <w:rPr>
          <w:rFonts w:ascii="Times New Roman" w:hAnsi="Times New Roman" w:cs="Times New Roman"/>
          <w:sz w:val="24"/>
          <w:szCs w:val="24"/>
        </w:rPr>
      </w:pPr>
      <w:r w:rsidRPr="00B246B1">
        <w:rPr>
          <w:rFonts w:ascii="Times New Roman" w:hAnsi="Times New Roman" w:cs="Times New Roman"/>
          <w:b/>
          <w:bCs/>
          <w:sz w:val="24"/>
          <w:szCs w:val="24"/>
          <w:u w:val="single"/>
        </w:rPr>
        <w:lastRenderedPageBreak/>
        <w:t>Précision :</w:t>
      </w:r>
      <w:r>
        <w:rPr>
          <w:rFonts w:ascii="Times New Roman" w:hAnsi="Times New Roman" w:cs="Times New Roman"/>
          <w:sz w:val="24"/>
          <w:szCs w:val="24"/>
        </w:rPr>
        <w:t xml:space="preserve"> Comme indiqué dans la partie introductive, nous espérons un subventionnement à hauteur de 80% pour la réalisation du schéma directeur cyclable grâce aux dispositifs AVELO 3 de l’ADEME pour 35000 euros (50%) et le FNADT pour 21 000 euros (30%). Ces subventions ne sont pas indiquées dans le tableau.</w:t>
      </w:r>
    </w:p>
    <w:p w14:paraId="27EC9F2A" w14:textId="77777777" w:rsidR="006409C6" w:rsidRDefault="006409C6" w:rsidP="006409C6">
      <w:pPr>
        <w:spacing w:line="259" w:lineRule="auto"/>
        <w:rPr>
          <w:rFonts w:ascii="Times New Roman" w:hAnsi="Times New Roman" w:cs="Times New Roman"/>
          <w:sz w:val="24"/>
          <w:szCs w:val="24"/>
        </w:rPr>
      </w:pPr>
    </w:p>
    <w:p w14:paraId="3BA2E207" w14:textId="77777777" w:rsidR="006409C6" w:rsidRDefault="006409C6" w:rsidP="006409C6">
      <w:pPr>
        <w:pStyle w:val="Titre1"/>
        <w:numPr>
          <w:ilvl w:val="0"/>
          <w:numId w:val="3"/>
        </w:numPr>
        <w:tabs>
          <w:tab w:val="num" w:pos="360"/>
        </w:tabs>
        <w:ind w:left="720" w:hanging="360"/>
        <w:rPr>
          <w:rFonts w:ascii="Times" w:eastAsiaTheme="minorHAnsi" w:hAnsi="Times" w:cs="Times"/>
          <w:b/>
          <w:bCs/>
          <w:sz w:val="36"/>
          <w:szCs w:val="36"/>
          <w:u w:val="single"/>
        </w:rPr>
      </w:pPr>
      <w:r w:rsidRPr="00286657">
        <w:rPr>
          <w:rFonts w:ascii="Times" w:eastAsiaTheme="minorHAnsi" w:hAnsi="Times" w:cs="Times"/>
          <w:b/>
          <w:bCs/>
          <w:sz w:val="36"/>
          <w:szCs w:val="36"/>
          <w:u w:val="single"/>
        </w:rPr>
        <w:t>Estimation de la répartition des contributions</w:t>
      </w:r>
    </w:p>
    <w:p w14:paraId="72C6033A" w14:textId="77777777" w:rsidR="006409C6" w:rsidRDefault="006409C6" w:rsidP="006409C6"/>
    <w:p w14:paraId="3176BC5C" w14:textId="77777777" w:rsidR="006409C6" w:rsidRDefault="006409C6" w:rsidP="006409C6">
      <w:pPr>
        <w:rPr>
          <w:rFonts w:ascii="Times" w:hAnsi="Times" w:cs="Times"/>
          <w:sz w:val="24"/>
          <w:szCs w:val="24"/>
        </w:rPr>
      </w:pPr>
      <w:r w:rsidRPr="001856B2">
        <w:rPr>
          <w:rFonts w:ascii="Times" w:hAnsi="Times" w:cs="Times"/>
          <w:sz w:val="24"/>
          <w:szCs w:val="24"/>
        </w:rPr>
        <w:t xml:space="preserve">Comme évoqué dans la partie introductive, l’augmentation </w:t>
      </w:r>
      <w:r>
        <w:rPr>
          <w:rFonts w:ascii="Times" w:hAnsi="Times" w:cs="Times"/>
          <w:sz w:val="24"/>
          <w:szCs w:val="24"/>
        </w:rPr>
        <w:t>des différentes dépenses</w:t>
      </w:r>
      <w:r w:rsidRPr="001856B2">
        <w:rPr>
          <w:rFonts w:ascii="Times" w:hAnsi="Times" w:cs="Times"/>
          <w:sz w:val="24"/>
          <w:szCs w:val="24"/>
        </w:rPr>
        <w:t xml:space="preserve"> génère un accroissement des contributions des EPCI</w:t>
      </w:r>
      <w:r>
        <w:rPr>
          <w:rFonts w:ascii="Times" w:hAnsi="Times" w:cs="Times"/>
          <w:sz w:val="24"/>
          <w:szCs w:val="24"/>
        </w:rPr>
        <w:t xml:space="preserve"> pour l’année 2025. Celle-ci devrait néanmoins se stabiliser pour l’année 2026. </w:t>
      </w:r>
    </w:p>
    <w:p w14:paraId="3324EBAA" w14:textId="77777777" w:rsidR="006409C6" w:rsidRPr="00342286" w:rsidRDefault="006409C6" w:rsidP="006409C6">
      <w:pPr>
        <w:rPr>
          <w:rFonts w:ascii="Times" w:hAnsi="Times" w:cs="Times"/>
          <w:sz w:val="24"/>
          <w:szCs w:val="24"/>
        </w:rPr>
      </w:pPr>
      <w:r>
        <w:rPr>
          <w:rFonts w:ascii="Times" w:hAnsi="Times" w:cs="Times"/>
          <w:sz w:val="24"/>
          <w:szCs w:val="24"/>
        </w:rPr>
        <w:br w:type="page"/>
      </w:r>
    </w:p>
    <w:tbl>
      <w:tblPr>
        <w:tblW w:w="15000" w:type="dxa"/>
        <w:tblCellMar>
          <w:left w:w="70" w:type="dxa"/>
          <w:right w:w="70" w:type="dxa"/>
        </w:tblCellMar>
        <w:tblLook w:val="04A0" w:firstRow="1" w:lastRow="0" w:firstColumn="1" w:lastColumn="0" w:noHBand="0" w:noVBand="1"/>
      </w:tblPr>
      <w:tblGrid>
        <w:gridCol w:w="4280"/>
        <w:gridCol w:w="1660"/>
        <w:gridCol w:w="1540"/>
        <w:gridCol w:w="1500"/>
        <w:gridCol w:w="1460"/>
        <w:gridCol w:w="2680"/>
        <w:gridCol w:w="1880"/>
      </w:tblGrid>
      <w:tr w:rsidR="006409C6" w:rsidRPr="00C975AE" w14:paraId="3B5D0E98" w14:textId="77777777" w:rsidTr="009A457B">
        <w:trPr>
          <w:trHeight w:val="1795"/>
        </w:trPr>
        <w:tc>
          <w:tcPr>
            <w:tcW w:w="4280" w:type="dxa"/>
            <w:tcBorders>
              <w:top w:val="single" w:sz="4" w:space="0" w:color="auto"/>
              <w:left w:val="single" w:sz="4" w:space="0" w:color="auto"/>
              <w:bottom w:val="nil"/>
              <w:right w:val="single" w:sz="4" w:space="0" w:color="auto"/>
            </w:tcBorders>
            <w:shd w:val="clear" w:color="auto" w:fill="auto"/>
            <w:vAlign w:val="center"/>
            <w:hideMark/>
          </w:tcPr>
          <w:p w14:paraId="2A71B539" w14:textId="77777777" w:rsidR="006409C6" w:rsidRPr="00C975AE" w:rsidRDefault="006409C6" w:rsidP="009A457B">
            <w:pPr>
              <w:spacing w:after="0" w:line="240" w:lineRule="auto"/>
              <w:jc w:val="center"/>
              <w:rPr>
                <w:rFonts w:ascii="Calibri" w:eastAsia="Times New Roman" w:hAnsi="Calibri" w:cs="Calibri"/>
                <w:b/>
                <w:bCs/>
                <w:color w:val="000000"/>
              </w:rPr>
            </w:pPr>
            <w:r w:rsidRPr="00C975AE">
              <w:rPr>
                <w:rFonts w:ascii="Calibri" w:eastAsia="Times New Roman" w:hAnsi="Calibri" w:cs="Calibri"/>
                <w:b/>
                <w:bCs/>
                <w:color w:val="000000"/>
              </w:rPr>
              <w:lastRenderedPageBreak/>
              <w:t>Intercommunalités</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14:paraId="674204BA" w14:textId="77777777" w:rsidR="006409C6" w:rsidRPr="00C975AE" w:rsidRDefault="006409C6" w:rsidP="009A457B">
            <w:pPr>
              <w:spacing w:after="0" w:line="240" w:lineRule="auto"/>
              <w:jc w:val="center"/>
              <w:rPr>
                <w:rFonts w:ascii="Calibri" w:eastAsia="Times New Roman" w:hAnsi="Calibri" w:cs="Calibri"/>
                <w:b/>
                <w:bCs/>
                <w:color w:val="000000"/>
              </w:rPr>
            </w:pPr>
            <w:r w:rsidRPr="00C975AE">
              <w:rPr>
                <w:rFonts w:ascii="Calibri" w:eastAsia="Times New Roman" w:hAnsi="Calibri" w:cs="Calibri"/>
                <w:b/>
                <w:bCs/>
                <w:color w:val="000000"/>
              </w:rPr>
              <w:t>Potentiel fiscal</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6ABC362C" w14:textId="77777777" w:rsidR="006409C6" w:rsidRPr="00C975AE" w:rsidRDefault="006409C6" w:rsidP="009A457B">
            <w:pPr>
              <w:spacing w:after="0" w:line="240" w:lineRule="auto"/>
              <w:jc w:val="center"/>
              <w:rPr>
                <w:rFonts w:ascii="Calibri" w:eastAsia="Times New Roman" w:hAnsi="Calibri" w:cs="Calibri"/>
                <w:b/>
                <w:bCs/>
                <w:color w:val="000000"/>
              </w:rPr>
            </w:pPr>
            <w:proofErr w:type="gramStart"/>
            <w:r w:rsidRPr="00C975AE">
              <w:rPr>
                <w:rFonts w:ascii="Calibri" w:eastAsia="Times New Roman" w:hAnsi="Calibri" w:cs="Calibri"/>
                <w:b/>
                <w:bCs/>
                <w:color w:val="000000"/>
              </w:rPr>
              <w:t>Population  DGF</w:t>
            </w:r>
            <w:proofErr w:type="gramEnd"/>
            <w:r w:rsidRPr="00C975AE">
              <w:rPr>
                <w:rFonts w:ascii="Calibri" w:eastAsia="Times New Roman" w:hAnsi="Calibri" w:cs="Calibri"/>
                <w:b/>
                <w:bCs/>
                <w:color w:val="000000"/>
              </w:rPr>
              <w:t xml:space="preserve">  </w:t>
            </w:r>
          </w:p>
        </w:tc>
        <w:tc>
          <w:tcPr>
            <w:tcW w:w="2960" w:type="dxa"/>
            <w:gridSpan w:val="2"/>
            <w:tcBorders>
              <w:top w:val="single" w:sz="4" w:space="0" w:color="auto"/>
              <w:left w:val="nil"/>
              <w:bottom w:val="single" w:sz="4" w:space="0" w:color="auto"/>
              <w:right w:val="single" w:sz="4" w:space="0" w:color="000000"/>
            </w:tcBorders>
            <w:shd w:val="clear" w:color="auto" w:fill="auto"/>
            <w:vAlign w:val="center"/>
            <w:hideMark/>
          </w:tcPr>
          <w:p w14:paraId="517737AF" w14:textId="77777777" w:rsidR="006409C6" w:rsidRPr="00C975AE" w:rsidRDefault="006409C6" w:rsidP="009A457B">
            <w:pPr>
              <w:spacing w:after="0" w:line="240" w:lineRule="auto"/>
              <w:jc w:val="center"/>
              <w:rPr>
                <w:rFonts w:ascii="Calibri" w:eastAsia="Times New Roman" w:hAnsi="Calibri" w:cs="Calibri"/>
                <w:b/>
                <w:bCs/>
                <w:color w:val="000000"/>
              </w:rPr>
            </w:pPr>
            <w:r w:rsidRPr="00C975AE">
              <w:rPr>
                <w:rFonts w:ascii="Calibri" w:eastAsia="Times New Roman" w:hAnsi="Calibri" w:cs="Calibri"/>
                <w:b/>
                <w:bCs/>
                <w:color w:val="000000"/>
              </w:rPr>
              <w:t>Décomposition de la contribution entre potentiel fiscal et population</w:t>
            </w:r>
          </w:p>
        </w:tc>
        <w:tc>
          <w:tcPr>
            <w:tcW w:w="2680" w:type="dxa"/>
            <w:tcBorders>
              <w:top w:val="single" w:sz="4" w:space="0" w:color="auto"/>
              <w:left w:val="nil"/>
              <w:bottom w:val="single" w:sz="4" w:space="0" w:color="auto"/>
              <w:right w:val="nil"/>
            </w:tcBorders>
            <w:shd w:val="clear" w:color="auto" w:fill="auto"/>
            <w:vAlign w:val="center"/>
            <w:hideMark/>
          </w:tcPr>
          <w:p w14:paraId="65A01E85" w14:textId="77777777" w:rsidR="006409C6" w:rsidRPr="00C975AE" w:rsidRDefault="006409C6" w:rsidP="009A457B">
            <w:pPr>
              <w:spacing w:after="0" w:line="240" w:lineRule="auto"/>
              <w:jc w:val="center"/>
              <w:rPr>
                <w:rFonts w:ascii="Calibri" w:eastAsia="Times New Roman" w:hAnsi="Calibri" w:cs="Calibri"/>
                <w:b/>
                <w:bCs/>
                <w:color w:val="000000"/>
              </w:rPr>
            </w:pPr>
            <w:r w:rsidRPr="00C975AE">
              <w:rPr>
                <w:rFonts w:ascii="Calibri" w:eastAsia="Times New Roman" w:hAnsi="Calibri" w:cs="Calibri"/>
                <w:b/>
                <w:bCs/>
                <w:color w:val="000000"/>
              </w:rPr>
              <w:t xml:space="preserve">Contribution </w:t>
            </w:r>
            <w:proofErr w:type="gramStart"/>
            <w:r w:rsidRPr="00C975AE">
              <w:rPr>
                <w:rFonts w:ascii="Calibri" w:eastAsia="Times New Roman" w:hAnsi="Calibri" w:cs="Calibri"/>
                <w:b/>
                <w:bCs/>
                <w:color w:val="000000"/>
              </w:rPr>
              <w:t>au  PETR</w:t>
            </w:r>
            <w:proofErr w:type="gramEnd"/>
            <w:r w:rsidRPr="00C975AE">
              <w:rPr>
                <w:rFonts w:ascii="Calibri" w:eastAsia="Times New Roman" w:hAnsi="Calibri" w:cs="Calibri"/>
                <w:b/>
                <w:bCs/>
                <w:color w:val="000000"/>
              </w:rPr>
              <w:t xml:space="preserve"> </w:t>
            </w:r>
            <w:proofErr w:type="gramStart"/>
            <w:r w:rsidRPr="00C975AE">
              <w:rPr>
                <w:rFonts w:ascii="Calibri" w:eastAsia="Times New Roman" w:hAnsi="Calibri" w:cs="Calibri"/>
                <w:b/>
                <w:bCs/>
                <w:color w:val="000000"/>
              </w:rPr>
              <w:t>2025  basée</w:t>
            </w:r>
            <w:proofErr w:type="gramEnd"/>
            <w:r w:rsidRPr="00C975AE">
              <w:rPr>
                <w:rFonts w:ascii="Calibri" w:eastAsia="Times New Roman" w:hAnsi="Calibri" w:cs="Calibri"/>
                <w:b/>
                <w:bCs/>
                <w:color w:val="000000"/>
              </w:rPr>
              <w:t xml:space="preserve">  pour 50 </w:t>
            </w:r>
            <w:proofErr w:type="gramStart"/>
            <w:r w:rsidRPr="00C975AE">
              <w:rPr>
                <w:rFonts w:ascii="Calibri" w:eastAsia="Times New Roman" w:hAnsi="Calibri" w:cs="Calibri"/>
                <w:b/>
                <w:bCs/>
                <w:color w:val="000000"/>
              </w:rPr>
              <w:t>%  sur</w:t>
            </w:r>
            <w:proofErr w:type="gramEnd"/>
            <w:r w:rsidRPr="00C975AE">
              <w:rPr>
                <w:rFonts w:ascii="Calibri" w:eastAsia="Times New Roman" w:hAnsi="Calibri" w:cs="Calibri"/>
                <w:b/>
                <w:bCs/>
                <w:color w:val="000000"/>
              </w:rPr>
              <w:t xml:space="preserve"> le potentiel fiscal et 50 </w:t>
            </w:r>
            <w:proofErr w:type="gramStart"/>
            <w:r w:rsidRPr="00C975AE">
              <w:rPr>
                <w:rFonts w:ascii="Calibri" w:eastAsia="Times New Roman" w:hAnsi="Calibri" w:cs="Calibri"/>
                <w:b/>
                <w:bCs/>
                <w:color w:val="000000"/>
              </w:rPr>
              <w:t>%  sur</w:t>
            </w:r>
            <w:proofErr w:type="gramEnd"/>
            <w:r w:rsidRPr="00C975AE">
              <w:rPr>
                <w:rFonts w:ascii="Calibri" w:eastAsia="Times New Roman" w:hAnsi="Calibri" w:cs="Calibri"/>
                <w:b/>
                <w:bCs/>
                <w:color w:val="000000"/>
              </w:rPr>
              <w:t xml:space="preserve"> la population </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BFCE60" w14:textId="77777777" w:rsidR="006409C6" w:rsidRPr="00C975AE" w:rsidRDefault="006409C6" w:rsidP="009A457B">
            <w:pPr>
              <w:spacing w:after="0" w:line="240" w:lineRule="auto"/>
              <w:jc w:val="center"/>
              <w:rPr>
                <w:rFonts w:ascii="Calibri" w:eastAsia="Times New Roman" w:hAnsi="Calibri" w:cs="Calibri"/>
                <w:b/>
                <w:bCs/>
                <w:i/>
                <w:iCs/>
                <w:color w:val="000000"/>
                <w:sz w:val="20"/>
                <w:szCs w:val="20"/>
              </w:rPr>
            </w:pPr>
            <w:r w:rsidRPr="00C975AE">
              <w:rPr>
                <w:rFonts w:ascii="Calibri" w:eastAsia="Times New Roman" w:hAnsi="Calibri" w:cs="Calibri"/>
                <w:b/>
                <w:bCs/>
                <w:i/>
                <w:iCs/>
                <w:color w:val="000000"/>
                <w:sz w:val="20"/>
                <w:szCs w:val="20"/>
              </w:rPr>
              <w:t>Pour mémoire, contributions 2024</w:t>
            </w:r>
          </w:p>
        </w:tc>
      </w:tr>
      <w:tr w:rsidR="006409C6" w:rsidRPr="00C975AE" w14:paraId="24842D3E" w14:textId="77777777" w:rsidTr="009A457B">
        <w:trPr>
          <w:trHeight w:val="900"/>
        </w:trPr>
        <w:tc>
          <w:tcPr>
            <w:tcW w:w="4280" w:type="dxa"/>
            <w:tcBorders>
              <w:top w:val="nil"/>
              <w:left w:val="single" w:sz="4" w:space="0" w:color="auto"/>
              <w:bottom w:val="single" w:sz="4" w:space="0" w:color="auto"/>
              <w:right w:val="single" w:sz="4" w:space="0" w:color="auto"/>
            </w:tcBorders>
            <w:shd w:val="clear" w:color="auto" w:fill="auto"/>
            <w:vAlign w:val="center"/>
            <w:hideMark/>
          </w:tcPr>
          <w:p w14:paraId="7C05AF43" w14:textId="77777777" w:rsidR="006409C6" w:rsidRPr="00C975AE" w:rsidRDefault="006409C6" w:rsidP="009A457B">
            <w:pPr>
              <w:spacing w:after="0" w:line="240" w:lineRule="auto"/>
              <w:jc w:val="center"/>
              <w:rPr>
                <w:rFonts w:ascii="Calibri" w:eastAsia="Times New Roman" w:hAnsi="Calibri" w:cs="Calibri"/>
                <w:b/>
                <w:bCs/>
                <w:color w:val="000000"/>
              </w:rPr>
            </w:pPr>
            <w:r w:rsidRPr="00C975AE">
              <w:rPr>
                <w:rFonts w:ascii="Calibri" w:eastAsia="Times New Roman" w:hAnsi="Calibri" w:cs="Calibri"/>
                <w:b/>
                <w:bCs/>
                <w:color w:val="000000"/>
              </w:rPr>
              <w:t> </w:t>
            </w:r>
          </w:p>
        </w:tc>
        <w:tc>
          <w:tcPr>
            <w:tcW w:w="3200" w:type="dxa"/>
            <w:gridSpan w:val="2"/>
            <w:tcBorders>
              <w:top w:val="single" w:sz="4" w:space="0" w:color="auto"/>
              <w:left w:val="nil"/>
              <w:bottom w:val="single" w:sz="4" w:space="0" w:color="auto"/>
              <w:right w:val="single" w:sz="4" w:space="0" w:color="000000"/>
            </w:tcBorders>
            <w:shd w:val="clear" w:color="auto" w:fill="auto"/>
            <w:vAlign w:val="center"/>
            <w:hideMark/>
          </w:tcPr>
          <w:p w14:paraId="01219993" w14:textId="77777777" w:rsidR="006409C6" w:rsidRPr="00C975AE" w:rsidRDefault="006409C6" w:rsidP="009A457B">
            <w:pPr>
              <w:spacing w:after="0" w:line="240" w:lineRule="auto"/>
              <w:jc w:val="center"/>
              <w:rPr>
                <w:rFonts w:ascii="Calibri" w:eastAsia="Times New Roman" w:hAnsi="Calibri" w:cs="Calibri"/>
                <w:b/>
                <w:bCs/>
                <w:color w:val="000000"/>
                <w:sz w:val="18"/>
                <w:szCs w:val="18"/>
              </w:rPr>
            </w:pPr>
            <w:r w:rsidRPr="00C975AE">
              <w:rPr>
                <w:rFonts w:ascii="Calibri" w:eastAsia="Times New Roman" w:hAnsi="Calibri" w:cs="Calibri"/>
                <w:b/>
                <w:bCs/>
                <w:color w:val="000000"/>
                <w:sz w:val="18"/>
                <w:szCs w:val="18"/>
              </w:rPr>
              <w:t xml:space="preserve">Sources : banatic.interieur.gouv.fr (dernière mise à jour des </w:t>
            </w:r>
            <w:proofErr w:type="spellStart"/>
            <w:r w:rsidRPr="00C975AE">
              <w:rPr>
                <w:rFonts w:ascii="Calibri" w:eastAsia="Times New Roman" w:hAnsi="Calibri" w:cs="Calibri"/>
                <w:b/>
                <w:bCs/>
                <w:color w:val="000000"/>
                <w:sz w:val="18"/>
                <w:szCs w:val="18"/>
              </w:rPr>
              <w:t>donnéees</w:t>
            </w:r>
            <w:proofErr w:type="spellEnd"/>
            <w:r w:rsidRPr="00C975AE">
              <w:rPr>
                <w:rFonts w:ascii="Calibri" w:eastAsia="Times New Roman" w:hAnsi="Calibri" w:cs="Calibri"/>
                <w:b/>
                <w:bCs/>
                <w:color w:val="000000"/>
                <w:sz w:val="18"/>
                <w:szCs w:val="18"/>
              </w:rPr>
              <w:t xml:space="preserve"> le 16/09/2024)</w:t>
            </w:r>
          </w:p>
        </w:tc>
        <w:tc>
          <w:tcPr>
            <w:tcW w:w="1500" w:type="dxa"/>
            <w:tcBorders>
              <w:top w:val="nil"/>
              <w:left w:val="nil"/>
              <w:bottom w:val="single" w:sz="4" w:space="0" w:color="auto"/>
              <w:right w:val="single" w:sz="4" w:space="0" w:color="auto"/>
            </w:tcBorders>
            <w:shd w:val="clear" w:color="auto" w:fill="auto"/>
            <w:vAlign w:val="center"/>
            <w:hideMark/>
          </w:tcPr>
          <w:p w14:paraId="010D562D" w14:textId="77777777" w:rsidR="006409C6" w:rsidRPr="00C975AE" w:rsidRDefault="006409C6" w:rsidP="009A457B">
            <w:pPr>
              <w:spacing w:after="0" w:line="240" w:lineRule="auto"/>
              <w:jc w:val="center"/>
              <w:rPr>
                <w:rFonts w:ascii="Calibri" w:eastAsia="Times New Roman" w:hAnsi="Calibri" w:cs="Calibri"/>
                <w:b/>
                <w:bCs/>
                <w:color w:val="000000"/>
              </w:rPr>
            </w:pPr>
            <w:r w:rsidRPr="00C975AE">
              <w:rPr>
                <w:rFonts w:ascii="Calibri" w:eastAsia="Times New Roman" w:hAnsi="Calibri" w:cs="Calibri"/>
                <w:b/>
                <w:bCs/>
                <w:color w:val="000000"/>
              </w:rPr>
              <w:t>Contribution basée sur la population</w:t>
            </w:r>
          </w:p>
        </w:tc>
        <w:tc>
          <w:tcPr>
            <w:tcW w:w="1460" w:type="dxa"/>
            <w:tcBorders>
              <w:top w:val="nil"/>
              <w:left w:val="nil"/>
              <w:bottom w:val="single" w:sz="4" w:space="0" w:color="auto"/>
              <w:right w:val="single" w:sz="4" w:space="0" w:color="auto"/>
            </w:tcBorders>
            <w:shd w:val="clear" w:color="auto" w:fill="auto"/>
            <w:vAlign w:val="center"/>
            <w:hideMark/>
          </w:tcPr>
          <w:p w14:paraId="77AFB18B" w14:textId="77777777" w:rsidR="006409C6" w:rsidRPr="00C975AE" w:rsidRDefault="006409C6" w:rsidP="009A457B">
            <w:pPr>
              <w:spacing w:after="0" w:line="240" w:lineRule="auto"/>
              <w:jc w:val="center"/>
              <w:rPr>
                <w:rFonts w:ascii="Calibri" w:eastAsia="Times New Roman" w:hAnsi="Calibri" w:cs="Calibri"/>
                <w:b/>
                <w:bCs/>
                <w:color w:val="000000"/>
              </w:rPr>
            </w:pPr>
            <w:r w:rsidRPr="00C975AE">
              <w:rPr>
                <w:rFonts w:ascii="Calibri" w:eastAsia="Times New Roman" w:hAnsi="Calibri" w:cs="Calibri"/>
                <w:b/>
                <w:bCs/>
                <w:color w:val="000000"/>
              </w:rPr>
              <w:t>Contribution basée sur le potentiel fiscal</w:t>
            </w:r>
          </w:p>
        </w:tc>
        <w:tc>
          <w:tcPr>
            <w:tcW w:w="2680" w:type="dxa"/>
            <w:tcBorders>
              <w:top w:val="single" w:sz="4" w:space="0" w:color="auto"/>
              <w:left w:val="nil"/>
              <w:bottom w:val="nil"/>
              <w:right w:val="single" w:sz="4" w:space="0" w:color="auto"/>
            </w:tcBorders>
            <w:shd w:val="clear" w:color="auto" w:fill="auto"/>
            <w:vAlign w:val="center"/>
            <w:hideMark/>
          </w:tcPr>
          <w:p w14:paraId="2A3B2BDA" w14:textId="77777777" w:rsidR="006409C6" w:rsidRPr="00C975AE" w:rsidRDefault="006409C6" w:rsidP="009A457B">
            <w:pPr>
              <w:spacing w:after="0" w:line="240" w:lineRule="auto"/>
              <w:jc w:val="center"/>
              <w:rPr>
                <w:rFonts w:ascii="Calibri" w:eastAsia="Times New Roman" w:hAnsi="Calibri" w:cs="Calibri"/>
                <w:b/>
                <w:bCs/>
                <w:color w:val="000000"/>
              </w:rPr>
            </w:pPr>
            <w:proofErr w:type="gramStart"/>
            <w:r w:rsidRPr="00C975AE">
              <w:rPr>
                <w:rFonts w:ascii="Calibri" w:eastAsia="Times New Roman" w:hAnsi="Calibri" w:cs="Calibri"/>
                <w:b/>
                <w:bCs/>
                <w:color w:val="000000"/>
              </w:rPr>
              <w:t>en</w:t>
            </w:r>
            <w:proofErr w:type="gramEnd"/>
            <w:r w:rsidRPr="00C975AE">
              <w:rPr>
                <w:rFonts w:ascii="Calibri" w:eastAsia="Times New Roman" w:hAnsi="Calibri" w:cs="Calibri"/>
                <w:b/>
                <w:bCs/>
                <w:color w:val="000000"/>
              </w:rPr>
              <w:t xml:space="preserve"> montant</w:t>
            </w:r>
          </w:p>
        </w:tc>
        <w:tc>
          <w:tcPr>
            <w:tcW w:w="1880" w:type="dxa"/>
            <w:tcBorders>
              <w:top w:val="nil"/>
              <w:left w:val="nil"/>
              <w:bottom w:val="single" w:sz="4" w:space="0" w:color="auto"/>
              <w:right w:val="single" w:sz="4" w:space="0" w:color="auto"/>
            </w:tcBorders>
            <w:shd w:val="clear" w:color="auto" w:fill="auto"/>
            <w:vAlign w:val="center"/>
            <w:hideMark/>
          </w:tcPr>
          <w:p w14:paraId="3B0E0936" w14:textId="77777777" w:rsidR="006409C6" w:rsidRPr="00C975AE" w:rsidRDefault="006409C6" w:rsidP="009A457B">
            <w:pPr>
              <w:spacing w:after="0" w:line="240" w:lineRule="auto"/>
              <w:jc w:val="center"/>
              <w:rPr>
                <w:rFonts w:ascii="Calibri" w:eastAsia="Times New Roman" w:hAnsi="Calibri" w:cs="Calibri"/>
                <w:b/>
                <w:bCs/>
                <w:i/>
                <w:iCs/>
                <w:color w:val="000000"/>
                <w:sz w:val="20"/>
                <w:szCs w:val="20"/>
              </w:rPr>
            </w:pPr>
            <w:r w:rsidRPr="00C975AE">
              <w:rPr>
                <w:rFonts w:ascii="Calibri" w:eastAsia="Times New Roman" w:hAnsi="Calibri" w:cs="Calibri"/>
                <w:b/>
                <w:bCs/>
                <w:i/>
                <w:iCs/>
                <w:color w:val="000000"/>
                <w:sz w:val="20"/>
                <w:szCs w:val="20"/>
              </w:rPr>
              <w:t>Montant</w:t>
            </w:r>
          </w:p>
        </w:tc>
      </w:tr>
      <w:tr w:rsidR="006409C6" w:rsidRPr="00C975AE" w14:paraId="57414293" w14:textId="77777777" w:rsidTr="009A457B">
        <w:trPr>
          <w:trHeight w:val="765"/>
        </w:trPr>
        <w:tc>
          <w:tcPr>
            <w:tcW w:w="4280" w:type="dxa"/>
            <w:tcBorders>
              <w:top w:val="nil"/>
              <w:left w:val="single" w:sz="4" w:space="0" w:color="auto"/>
              <w:bottom w:val="single" w:sz="4" w:space="0" w:color="auto"/>
              <w:right w:val="single" w:sz="4" w:space="0" w:color="auto"/>
            </w:tcBorders>
            <w:shd w:val="clear" w:color="auto" w:fill="auto"/>
            <w:vAlign w:val="center"/>
            <w:hideMark/>
          </w:tcPr>
          <w:p w14:paraId="7DC86814" w14:textId="77777777" w:rsidR="006409C6" w:rsidRPr="00C975AE" w:rsidRDefault="006409C6" w:rsidP="009A457B">
            <w:pPr>
              <w:spacing w:after="0" w:line="240" w:lineRule="auto"/>
              <w:rPr>
                <w:rFonts w:ascii="Calibri" w:eastAsia="Times New Roman" w:hAnsi="Calibri" w:cs="Calibri"/>
                <w:color w:val="000000"/>
              </w:rPr>
            </w:pPr>
            <w:r w:rsidRPr="00C975AE">
              <w:rPr>
                <w:rFonts w:ascii="Calibri" w:eastAsia="Times New Roman" w:hAnsi="Calibri" w:cs="Calibri"/>
                <w:color w:val="000000"/>
              </w:rPr>
              <w:t>Communauté d'agglomération du Grand Sénonais</w:t>
            </w:r>
          </w:p>
        </w:tc>
        <w:tc>
          <w:tcPr>
            <w:tcW w:w="1660" w:type="dxa"/>
            <w:tcBorders>
              <w:top w:val="nil"/>
              <w:left w:val="nil"/>
              <w:bottom w:val="single" w:sz="4" w:space="0" w:color="auto"/>
              <w:right w:val="single" w:sz="4" w:space="0" w:color="auto"/>
            </w:tcBorders>
            <w:shd w:val="clear" w:color="000000" w:fill="FFFFFF"/>
            <w:vAlign w:val="center"/>
            <w:hideMark/>
          </w:tcPr>
          <w:p w14:paraId="0C4DCF30" w14:textId="77777777" w:rsidR="006409C6" w:rsidRPr="00C975AE" w:rsidRDefault="006409C6" w:rsidP="009A457B">
            <w:pPr>
              <w:spacing w:after="0" w:line="240" w:lineRule="auto"/>
              <w:jc w:val="right"/>
              <w:rPr>
                <w:rFonts w:ascii="Calibri" w:eastAsia="Times New Roman" w:hAnsi="Calibri" w:cs="Calibri"/>
                <w:color w:val="000000"/>
              </w:rPr>
            </w:pPr>
            <w:r w:rsidRPr="00C975AE">
              <w:rPr>
                <w:rFonts w:ascii="Calibri" w:eastAsia="Times New Roman" w:hAnsi="Calibri" w:cs="Calibri"/>
                <w:color w:val="000000"/>
              </w:rPr>
              <w:t>24 483 283,00</w:t>
            </w:r>
          </w:p>
        </w:tc>
        <w:tc>
          <w:tcPr>
            <w:tcW w:w="1540" w:type="dxa"/>
            <w:tcBorders>
              <w:top w:val="nil"/>
              <w:left w:val="nil"/>
              <w:bottom w:val="single" w:sz="4" w:space="0" w:color="auto"/>
              <w:right w:val="single" w:sz="4" w:space="0" w:color="auto"/>
            </w:tcBorders>
            <w:shd w:val="clear" w:color="000000" w:fill="FFFFFF"/>
            <w:vAlign w:val="center"/>
            <w:hideMark/>
          </w:tcPr>
          <w:p w14:paraId="20122B19" w14:textId="77777777" w:rsidR="006409C6" w:rsidRPr="00C975AE" w:rsidRDefault="006409C6" w:rsidP="009A457B">
            <w:pPr>
              <w:spacing w:after="0" w:line="240" w:lineRule="auto"/>
              <w:jc w:val="right"/>
              <w:rPr>
                <w:rFonts w:ascii="Calibri" w:eastAsia="Times New Roman" w:hAnsi="Calibri" w:cs="Calibri"/>
                <w:color w:val="000000"/>
              </w:rPr>
            </w:pPr>
            <w:r w:rsidRPr="00C975AE">
              <w:rPr>
                <w:rFonts w:ascii="Calibri" w:eastAsia="Times New Roman" w:hAnsi="Calibri" w:cs="Calibri"/>
                <w:color w:val="000000"/>
              </w:rPr>
              <w:t>62 205</w:t>
            </w:r>
          </w:p>
        </w:tc>
        <w:tc>
          <w:tcPr>
            <w:tcW w:w="1500" w:type="dxa"/>
            <w:tcBorders>
              <w:top w:val="nil"/>
              <w:left w:val="nil"/>
              <w:bottom w:val="single" w:sz="4" w:space="0" w:color="auto"/>
              <w:right w:val="single" w:sz="4" w:space="0" w:color="auto"/>
            </w:tcBorders>
            <w:shd w:val="clear" w:color="auto" w:fill="auto"/>
            <w:vAlign w:val="center"/>
            <w:hideMark/>
          </w:tcPr>
          <w:p w14:paraId="740C1C92" w14:textId="77777777" w:rsidR="006409C6" w:rsidRPr="00C975AE" w:rsidRDefault="006409C6" w:rsidP="009A457B">
            <w:pPr>
              <w:spacing w:after="0" w:line="240" w:lineRule="auto"/>
              <w:jc w:val="right"/>
              <w:rPr>
                <w:rFonts w:ascii="Calibri" w:eastAsia="Times New Roman" w:hAnsi="Calibri" w:cs="Calibri"/>
                <w:color w:val="000000"/>
              </w:rPr>
            </w:pPr>
            <w:r w:rsidRPr="00C975AE">
              <w:rPr>
                <w:rFonts w:ascii="Calibri" w:eastAsia="Times New Roman" w:hAnsi="Calibri" w:cs="Calibri"/>
                <w:color w:val="000000"/>
              </w:rPr>
              <w:t>30 179,31</w:t>
            </w:r>
          </w:p>
        </w:tc>
        <w:tc>
          <w:tcPr>
            <w:tcW w:w="1460" w:type="dxa"/>
            <w:tcBorders>
              <w:top w:val="nil"/>
              <w:left w:val="nil"/>
              <w:bottom w:val="single" w:sz="4" w:space="0" w:color="auto"/>
              <w:right w:val="single" w:sz="4" w:space="0" w:color="auto"/>
            </w:tcBorders>
            <w:shd w:val="clear" w:color="auto" w:fill="auto"/>
            <w:vAlign w:val="center"/>
            <w:hideMark/>
          </w:tcPr>
          <w:p w14:paraId="0FB0F99D" w14:textId="77777777" w:rsidR="006409C6" w:rsidRPr="00C975AE" w:rsidRDefault="006409C6" w:rsidP="009A457B">
            <w:pPr>
              <w:spacing w:after="0" w:line="240" w:lineRule="auto"/>
              <w:jc w:val="right"/>
              <w:rPr>
                <w:rFonts w:ascii="Calibri" w:eastAsia="Times New Roman" w:hAnsi="Calibri" w:cs="Calibri"/>
                <w:color w:val="000000"/>
              </w:rPr>
            </w:pPr>
            <w:r w:rsidRPr="00C975AE">
              <w:rPr>
                <w:rFonts w:ascii="Calibri" w:eastAsia="Times New Roman" w:hAnsi="Calibri" w:cs="Calibri"/>
                <w:color w:val="000000"/>
              </w:rPr>
              <w:t>39 035,05</w:t>
            </w:r>
          </w:p>
        </w:tc>
        <w:tc>
          <w:tcPr>
            <w:tcW w:w="2680" w:type="dxa"/>
            <w:tcBorders>
              <w:top w:val="single" w:sz="4" w:space="0" w:color="auto"/>
              <w:left w:val="nil"/>
              <w:bottom w:val="single" w:sz="4" w:space="0" w:color="auto"/>
              <w:right w:val="single" w:sz="4" w:space="0" w:color="auto"/>
            </w:tcBorders>
            <w:shd w:val="clear" w:color="000000" w:fill="FFFFFF"/>
            <w:vAlign w:val="center"/>
            <w:hideMark/>
          </w:tcPr>
          <w:p w14:paraId="1364B728" w14:textId="77777777" w:rsidR="006409C6" w:rsidRPr="00C975AE" w:rsidRDefault="006409C6" w:rsidP="009A457B">
            <w:pPr>
              <w:spacing w:after="0" w:line="240" w:lineRule="auto"/>
              <w:jc w:val="right"/>
              <w:rPr>
                <w:rFonts w:ascii="Calibri" w:eastAsia="Times New Roman" w:hAnsi="Calibri" w:cs="Calibri"/>
                <w:color w:val="000000"/>
              </w:rPr>
            </w:pPr>
            <w:r w:rsidRPr="00C975AE">
              <w:rPr>
                <w:rFonts w:ascii="Calibri" w:eastAsia="Times New Roman" w:hAnsi="Calibri" w:cs="Calibri"/>
                <w:color w:val="000000"/>
              </w:rPr>
              <w:t>69 214,36</w:t>
            </w:r>
          </w:p>
        </w:tc>
        <w:tc>
          <w:tcPr>
            <w:tcW w:w="1880" w:type="dxa"/>
            <w:tcBorders>
              <w:top w:val="nil"/>
              <w:left w:val="nil"/>
              <w:bottom w:val="single" w:sz="4" w:space="0" w:color="auto"/>
              <w:right w:val="single" w:sz="4" w:space="0" w:color="auto"/>
            </w:tcBorders>
            <w:shd w:val="clear" w:color="auto" w:fill="auto"/>
            <w:vAlign w:val="center"/>
            <w:hideMark/>
          </w:tcPr>
          <w:p w14:paraId="19D33913" w14:textId="77777777" w:rsidR="006409C6" w:rsidRPr="00C975AE" w:rsidRDefault="006409C6" w:rsidP="009A457B">
            <w:pPr>
              <w:spacing w:after="0" w:line="240" w:lineRule="auto"/>
              <w:jc w:val="right"/>
              <w:rPr>
                <w:rFonts w:ascii="Calibri" w:eastAsia="Times New Roman" w:hAnsi="Calibri" w:cs="Calibri"/>
                <w:i/>
                <w:iCs/>
                <w:color w:val="000000"/>
                <w:sz w:val="20"/>
                <w:szCs w:val="20"/>
              </w:rPr>
            </w:pPr>
            <w:r w:rsidRPr="00C975AE">
              <w:rPr>
                <w:rFonts w:ascii="Calibri" w:eastAsia="Times New Roman" w:hAnsi="Calibri" w:cs="Calibri"/>
                <w:i/>
                <w:iCs/>
                <w:color w:val="000000"/>
                <w:sz w:val="20"/>
                <w:szCs w:val="20"/>
              </w:rPr>
              <w:t>59 276,38</w:t>
            </w:r>
          </w:p>
        </w:tc>
      </w:tr>
      <w:tr w:rsidR="006409C6" w:rsidRPr="00C975AE" w14:paraId="1372C3FE" w14:textId="77777777" w:rsidTr="009A457B">
        <w:trPr>
          <w:trHeight w:val="1020"/>
        </w:trPr>
        <w:tc>
          <w:tcPr>
            <w:tcW w:w="4280" w:type="dxa"/>
            <w:tcBorders>
              <w:top w:val="nil"/>
              <w:left w:val="single" w:sz="4" w:space="0" w:color="auto"/>
              <w:bottom w:val="single" w:sz="4" w:space="0" w:color="auto"/>
              <w:right w:val="single" w:sz="4" w:space="0" w:color="auto"/>
            </w:tcBorders>
            <w:shd w:val="clear" w:color="auto" w:fill="auto"/>
            <w:vAlign w:val="center"/>
            <w:hideMark/>
          </w:tcPr>
          <w:p w14:paraId="7DA3F5D6" w14:textId="77777777" w:rsidR="006409C6" w:rsidRPr="00C975AE" w:rsidRDefault="006409C6" w:rsidP="009A457B">
            <w:pPr>
              <w:spacing w:after="0" w:line="240" w:lineRule="auto"/>
              <w:rPr>
                <w:rFonts w:ascii="Calibri" w:eastAsia="Times New Roman" w:hAnsi="Calibri" w:cs="Calibri"/>
                <w:color w:val="000000"/>
              </w:rPr>
            </w:pPr>
            <w:r w:rsidRPr="00C975AE">
              <w:rPr>
                <w:rFonts w:ascii="Calibri" w:eastAsia="Times New Roman" w:hAnsi="Calibri" w:cs="Calibri"/>
                <w:color w:val="000000"/>
              </w:rPr>
              <w:t>Communauté de communes du Jovinien</w:t>
            </w:r>
          </w:p>
        </w:tc>
        <w:tc>
          <w:tcPr>
            <w:tcW w:w="1660" w:type="dxa"/>
            <w:tcBorders>
              <w:top w:val="nil"/>
              <w:left w:val="nil"/>
              <w:bottom w:val="single" w:sz="4" w:space="0" w:color="auto"/>
              <w:right w:val="single" w:sz="4" w:space="0" w:color="auto"/>
            </w:tcBorders>
            <w:shd w:val="clear" w:color="000000" w:fill="FFFFFF"/>
            <w:vAlign w:val="center"/>
            <w:hideMark/>
          </w:tcPr>
          <w:p w14:paraId="161B1D4A" w14:textId="77777777" w:rsidR="006409C6" w:rsidRPr="00C975AE" w:rsidRDefault="006409C6" w:rsidP="009A457B">
            <w:pPr>
              <w:spacing w:after="0" w:line="240" w:lineRule="auto"/>
              <w:jc w:val="right"/>
              <w:rPr>
                <w:rFonts w:ascii="Calibri" w:eastAsia="Times New Roman" w:hAnsi="Calibri" w:cs="Calibri"/>
                <w:color w:val="000000"/>
              </w:rPr>
            </w:pPr>
            <w:r w:rsidRPr="00C975AE">
              <w:rPr>
                <w:rFonts w:ascii="Calibri" w:eastAsia="Times New Roman" w:hAnsi="Calibri" w:cs="Calibri"/>
                <w:color w:val="000000"/>
              </w:rPr>
              <w:t>8 444 826,00</w:t>
            </w:r>
          </w:p>
        </w:tc>
        <w:tc>
          <w:tcPr>
            <w:tcW w:w="1540" w:type="dxa"/>
            <w:tcBorders>
              <w:top w:val="nil"/>
              <w:left w:val="nil"/>
              <w:bottom w:val="single" w:sz="4" w:space="0" w:color="auto"/>
              <w:right w:val="single" w:sz="4" w:space="0" w:color="auto"/>
            </w:tcBorders>
            <w:shd w:val="clear" w:color="000000" w:fill="FFFFFF"/>
            <w:vAlign w:val="center"/>
            <w:hideMark/>
          </w:tcPr>
          <w:p w14:paraId="293F4DD1" w14:textId="77777777" w:rsidR="006409C6" w:rsidRPr="00C975AE" w:rsidRDefault="006409C6" w:rsidP="009A457B">
            <w:pPr>
              <w:spacing w:after="0" w:line="240" w:lineRule="auto"/>
              <w:jc w:val="right"/>
              <w:rPr>
                <w:rFonts w:ascii="Calibri" w:eastAsia="Times New Roman" w:hAnsi="Calibri" w:cs="Calibri"/>
                <w:color w:val="000000"/>
              </w:rPr>
            </w:pPr>
            <w:r w:rsidRPr="00C975AE">
              <w:rPr>
                <w:rFonts w:ascii="Calibri" w:eastAsia="Times New Roman" w:hAnsi="Calibri" w:cs="Calibri"/>
                <w:color w:val="000000"/>
              </w:rPr>
              <w:t>22 531</w:t>
            </w:r>
          </w:p>
        </w:tc>
        <w:tc>
          <w:tcPr>
            <w:tcW w:w="1500" w:type="dxa"/>
            <w:tcBorders>
              <w:top w:val="nil"/>
              <w:left w:val="nil"/>
              <w:bottom w:val="single" w:sz="4" w:space="0" w:color="auto"/>
              <w:right w:val="single" w:sz="4" w:space="0" w:color="auto"/>
            </w:tcBorders>
            <w:shd w:val="clear" w:color="auto" w:fill="auto"/>
            <w:vAlign w:val="center"/>
            <w:hideMark/>
          </w:tcPr>
          <w:p w14:paraId="7C990BA9" w14:textId="77777777" w:rsidR="006409C6" w:rsidRPr="00C975AE" w:rsidRDefault="006409C6" w:rsidP="009A457B">
            <w:pPr>
              <w:spacing w:after="0" w:line="240" w:lineRule="auto"/>
              <w:jc w:val="right"/>
              <w:rPr>
                <w:rFonts w:ascii="Calibri" w:eastAsia="Times New Roman" w:hAnsi="Calibri" w:cs="Calibri"/>
                <w:color w:val="000000"/>
              </w:rPr>
            </w:pPr>
            <w:r w:rsidRPr="00C975AE">
              <w:rPr>
                <w:rFonts w:ascii="Calibri" w:eastAsia="Times New Roman" w:hAnsi="Calibri" w:cs="Calibri"/>
                <w:color w:val="000000"/>
              </w:rPr>
              <w:t>10 931,11</w:t>
            </w:r>
          </w:p>
        </w:tc>
        <w:tc>
          <w:tcPr>
            <w:tcW w:w="1460" w:type="dxa"/>
            <w:tcBorders>
              <w:top w:val="nil"/>
              <w:left w:val="nil"/>
              <w:bottom w:val="single" w:sz="4" w:space="0" w:color="auto"/>
              <w:right w:val="single" w:sz="4" w:space="0" w:color="auto"/>
            </w:tcBorders>
            <w:shd w:val="clear" w:color="auto" w:fill="auto"/>
            <w:vAlign w:val="center"/>
            <w:hideMark/>
          </w:tcPr>
          <w:p w14:paraId="16615034" w14:textId="77777777" w:rsidR="006409C6" w:rsidRPr="00C975AE" w:rsidRDefault="006409C6" w:rsidP="009A457B">
            <w:pPr>
              <w:spacing w:after="0" w:line="240" w:lineRule="auto"/>
              <w:jc w:val="right"/>
              <w:rPr>
                <w:rFonts w:ascii="Calibri" w:eastAsia="Times New Roman" w:hAnsi="Calibri" w:cs="Calibri"/>
                <w:color w:val="000000"/>
              </w:rPr>
            </w:pPr>
            <w:r w:rsidRPr="00C975AE">
              <w:rPr>
                <w:rFonts w:ascii="Calibri" w:eastAsia="Times New Roman" w:hAnsi="Calibri" w:cs="Calibri"/>
                <w:color w:val="000000"/>
              </w:rPr>
              <w:t>13 464,05</w:t>
            </w:r>
          </w:p>
        </w:tc>
        <w:tc>
          <w:tcPr>
            <w:tcW w:w="2680" w:type="dxa"/>
            <w:tcBorders>
              <w:top w:val="nil"/>
              <w:left w:val="nil"/>
              <w:bottom w:val="single" w:sz="4" w:space="0" w:color="auto"/>
              <w:right w:val="single" w:sz="4" w:space="0" w:color="auto"/>
            </w:tcBorders>
            <w:shd w:val="clear" w:color="000000" w:fill="FFFFFF"/>
            <w:vAlign w:val="center"/>
            <w:hideMark/>
          </w:tcPr>
          <w:p w14:paraId="2E4E8D78" w14:textId="77777777" w:rsidR="006409C6" w:rsidRPr="00C975AE" w:rsidRDefault="006409C6" w:rsidP="009A457B">
            <w:pPr>
              <w:spacing w:after="0" w:line="240" w:lineRule="auto"/>
              <w:jc w:val="right"/>
              <w:rPr>
                <w:rFonts w:ascii="Calibri" w:eastAsia="Times New Roman" w:hAnsi="Calibri" w:cs="Calibri"/>
                <w:color w:val="000000"/>
              </w:rPr>
            </w:pPr>
            <w:r w:rsidRPr="00C975AE">
              <w:rPr>
                <w:rFonts w:ascii="Calibri" w:eastAsia="Times New Roman" w:hAnsi="Calibri" w:cs="Calibri"/>
                <w:color w:val="000000"/>
              </w:rPr>
              <w:t>24 395,16</w:t>
            </w:r>
          </w:p>
        </w:tc>
        <w:tc>
          <w:tcPr>
            <w:tcW w:w="1880" w:type="dxa"/>
            <w:tcBorders>
              <w:top w:val="nil"/>
              <w:left w:val="nil"/>
              <w:bottom w:val="single" w:sz="4" w:space="0" w:color="auto"/>
              <w:right w:val="single" w:sz="4" w:space="0" w:color="auto"/>
            </w:tcBorders>
            <w:shd w:val="clear" w:color="auto" w:fill="auto"/>
            <w:vAlign w:val="center"/>
            <w:hideMark/>
          </w:tcPr>
          <w:p w14:paraId="1695FF60" w14:textId="77777777" w:rsidR="006409C6" w:rsidRPr="00C975AE" w:rsidRDefault="006409C6" w:rsidP="009A457B">
            <w:pPr>
              <w:spacing w:after="0" w:line="240" w:lineRule="auto"/>
              <w:jc w:val="right"/>
              <w:rPr>
                <w:rFonts w:ascii="Calibri" w:eastAsia="Times New Roman" w:hAnsi="Calibri" w:cs="Calibri"/>
                <w:i/>
                <w:iCs/>
                <w:color w:val="000000"/>
                <w:sz w:val="20"/>
                <w:szCs w:val="20"/>
              </w:rPr>
            </w:pPr>
            <w:r w:rsidRPr="00C975AE">
              <w:rPr>
                <w:rFonts w:ascii="Calibri" w:eastAsia="Times New Roman" w:hAnsi="Calibri" w:cs="Calibri"/>
                <w:i/>
                <w:iCs/>
                <w:color w:val="000000"/>
                <w:sz w:val="20"/>
                <w:szCs w:val="20"/>
              </w:rPr>
              <w:t>20 892,43</w:t>
            </w:r>
          </w:p>
        </w:tc>
      </w:tr>
      <w:tr w:rsidR="006409C6" w:rsidRPr="00C975AE" w14:paraId="4F66BD51" w14:textId="77777777" w:rsidTr="009A457B">
        <w:trPr>
          <w:trHeight w:val="765"/>
        </w:trPr>
        <w:tc>
          <w:tcPr>
            <w:tcW w:w="4280" w:type="dxa"/>
            <w:tcBorders>
              <w:top w:val="nil"/>
              <w:left w:val="single" w:sz="4" w:space="0" w:color="auto"/>
              <w:bottom w:val="single" w:sz="4" w:space="0" w:color="auto"/>
              <w:right w:val="single" w:sz="4" w:space="0" w:color="auto"/>
            </w:tcBorders>
            <w:shd w:val="clear" w:color="auto" w:fill="auto"/>
            <w:vAlign w:val="center"/>
            <w:hideMark/>
          </w:tcPr>
          <w:p w14:paraId="34D5B101" w14:textId="77777777" w:rsidR="006409C6" w:rsidRPr="00C975AE" w:rsidRDefault="006409C6" w:rsidP="009A457B">
            <w:pPr>
              <w:spacing w:after="0" w:line="240" w:lineRule="auto"/>
              <w:rPr>
                <w:rFonts w:ascii="Calibri" w:eastAsia="Times New Roman" w:hAnsi="Calibri" w:cs="Calibri"/>
                <w:color w:val="000000"/>
              </w:rPr>
            </w:pPr>
            <w:r w:rsidRPr="00C975AE">
              <w:rPr>
                <w:rFonts w:ascii="Calibri" w:eastAsia="Times New Roman" w:hAnsi="Calibri" w:cs="Calibri"/>
                <w:color w:val="000000"/>
              </w:rPr>
              <w:t>Communauté de communes du Gatinais</w:t>
            </w:r>
          </w:p>
        </w:tc>
        <w:tc>
          <w:tcPr>
            <w:tcW w:w="1660" w:type="dxa"/>
            <w:tcBorders>
              <w:top w:val="nil"/>
              <w:left w:val="nil"/>
              <w:bottom w:val="single" w:sz="4" w:space="0" w:color="auto"/>
              <w:right w:val="single" w:sz="4" w:space="0" w:color="auto"/>
            </w:tcBorders>
            <w:shd w:val="clear" w:color="000000" w:fill="FFFFFF"/>
            <w:vAlign w:val="center"/>
            <w:hideMark/>
          </w:tcPr>
          <w:p w14:paraId="04F44304" w14:textId="77777777" w:rsidR="006409C6" w:rsidRPr="00C975AE" w:rsidRDefault="006409C6" w:rsidP="009A457B">
            <w:pPr>
              <w:spacing w:after="0" w:line="240" w:lineRule="auto"/>
              <w:jc w:val="right"/>
              <w:rPr>
                <w:rFonts w:ascii="Calibri" w:eastAsia="Times New Roman" w:hAnsi="Calibri" w:cs="Calibri"/>
                <w:color w:val="000000"/>
              </w:rPr>
            </w:pPr>
            <w:r w:rsidRPr="00C975AE">
              <w:rPr>
                <w:rFonts w:ascii="Calibri" w:eastAsia="Times New Roman" w:hAnsi="Calibri" w:cs="Calibri"/>
                <w:color w:val="000000"/>
              </w:rPr>
              <w:t>4 673 184,00</w:t>
            </w:r>
          </w:p>
        </w:tc>
        <w:tc>
          <w:tcPr>
            <w:tcW w:w="1540" w:type="dxa"/>
            <w:tcBorders>
              <w:top w:val="nil"/>
              <w:left w:val="nil"/>
              <w:bottom w:val="single" w:sz="4" w:space="0" w:color="auto"/>
              <w:right w:val="single" w:sz="4" w:space="0" w:color="auto"/>
            </w:tcBorders>
            <w:shd w:val="clear" w:color="000000" w:fill="FFFFFF"/>
            <w:vAlign w:val="center"/>
            <w:hideMark/>
          </w:tcPr>
          <w:p w14:paraId="29BBA727" w14:textId="77777777" w:rsidR="006409C6" w:rsidRPr="00C975AE" w:rsidRDefault="006409C6" w:rsidP="009A457B">
            <w:pPr>
              <w:spacing w:after="0" w:line="240" w:lineRule="auto"/>
              <w:jc w:val="right"/>
              <w:rPr>
                <w:rFonts w:ascii="Calibri" w:eastAsia="Times New Roman" w:hAnsi="Calibri" w:cs="Calibri"/>
                <w:color w:val="000000"/>
              </w:rPr>
            </w:pPr>
            <w:r w:rsidRPr="00C975AE">
              <w:rPr>
                <w:rFonts w:ascii="Calibri" w:eastAsia="Times New Roman" w:hAnsi="Calibri" w:cs="Calibri"/>
                <w:color w:val="000000"/>
              </w:rPr>
              <w:t>19 483</w:t>
            </w:r>
          </w:p>
        </w:tc>
        <w:tc>
          <w:tcPr>
            <w:tcW w:w="1500" w:type="dxa"/>
            <w:tcBorders>
              <w:top w:val="nil"/>
              <w:left w:val="nil"/>
              <w:bottom w:val="single" w:sz="4" w:space="0" w:color="auto"/>
              <w:right w:val="single" w:sz="4" w:space="0" w:color="auto"/>
            </w:tcBorders>
            <w:shd w:val="clear" w:color="auto" w:fill="auto"/>
            <w:vAlign w:val="center"/>
            <w:hideMark/>
          </w:tcPr>
          <w:p w14:paraId="1F084D93" w14:textId="77777777" w:rsidR="006409C6" w:rsidRPr="00C975AE" w:rsidRDefault="006409C6" w:rsidP="009A457B">
            <w:pPr>
              <w:spacing w:after="0" w:line="240" w:lineRule="auto"/>
              <w:jc w:val="right"/>
              <w:rPr>
                <w:rFonts w:ascii="Calibri" w:eastAsia="Times New Roman" w:hAnsi="Calibri" w:cs="Calibri"/>
                <w:color w:val="000000"/>
              </w:rPr>
            </w:pPr>
            <w:r w:rsidRPr="00C975AE">
              <w:rPr>
                <w:rFonts w:ascii="Calibri" w:eastAsia="Times New Roman" w:hAnsi="Calibri" w:cs="Calibri"/>
                <w:color w:val="000000"/>
              </w:rPr>
              <w:t>9 452,35</w:t>
            </w:r>
          </w:p>
        </w:tc>
        <w:tc>
          <w:tcPr>
            <w:tcW w:w="1460" w:type="dxa"/>
            <w:tcBorders>
              <w:top w:val="nil"/>
              <w:left w:val="nil"/>
              <w:bottom w:val="single" w:sz="4" w:space="0" w:color="auto"/>
              <w:right w:val="single" w:sz="4" w:space="0" w:color="auto"/>
            </w:tcBorders>
            <w:shd w:val="clear" w:color="auto" w:fill="auto"/>
            <w:vAlign w:val="center"/>
            <w:hideMark/>
          </w:tcPr>
          <w:p w14:paraId="1C94C20B" w14:textId="77777777" w:rsidR="006409C6" w:rsidRPr="00C975AE" w:rsidRDefault="006409C6" w:rsidP="009A457B">
            <w:pPr>
              <w:spacing w:after="0" w:line="240" w:lineRule="auto"/>
              <w:jc w:val="right"/>
              <w:rPr>
                <w:rFonts w:ascii="Calibri" w:eastAsia="Times New Roman" w:hAnsi="Calibri" w:cs="Calibri"/>
                <w:color w:val="000000"/>
              </w:rPr>
            </w:pPr>
            <w:r w:rsidRPr="00C975AE">
              <w:rPr>
                <w:rFonts w:ascii="Calibri" w:eastAsia="Times New Roman" w:hAnsi="Calibri" w:cs="Calibri"/>
                <w:color w:val="000000"/>
              </w:rPr>
              <w:t>7 450,72</w:t>
            </w:r>
          </w:p>
        </w:tc>
        <w:tc>
          <w:tcPr>
            <w:tcW w:w="2680" w:type="dxa"/>
            <w:tcBorders>
              <w:top w:val="nil"/>
              <w:left w:val="nil"/>
              <w:bottom w:val="single" w:sz="4" w:space="0" w:color="auto"/>
              <w:right w:val="single" w:sz="4" w:space="0" w:color="auto"/>
            </w:tcBorders>
            <w:shd w:val="clear" w:color="000000" w:fill="FFFFFF"/>
            <w:vAlign w:val="center"/>
            <w:hideMark/>
          </w:tcPr>
          <w:p w14:paraId="11E4D7F8" w14:textId="77777777" w:rsidR="006409C6" w:rsidRPr="00C975AE" w:rsidRDefault="006409C6" w:rsidP="009A457B">
            <w:pPr>
              <w:spacing w:after="0" w:line="240" w:lineRule="auto"/>
              <w:jc w:val="right"/>
              <w:rPr>
                <w:rFonts w:ascii="Calibri" w:eastAsia="Times New Roman" w:hAnsi="Calibri" w:cs="Calibri"/>
                <w:color w:val="000000"/>
              </w:rPr>
            </w:pPr>
            <w:r w:rsidRPr="00C975AE">
              <w:rPr>
                <w:rFonts w:ascii="Calibri" w:eastAsia="Times New Roman" w:hAnsi="Calibri" w:cs="Calibri"/>
                <w:color w:val="000000"/>
              </w:rPr>
              <w:t>16 903,07</w:t>
            </w:r>
          </w:p>
        </w:tc>
        <w:tc>
          <w:tcPr>
            <w:tcW w:w="1880" w:type="dxa"/>
            <w:tcBorders>
              <w:top w:val="nil"/>
              <w:left w:val="nil"/>
              <w:bottom w:val="single" w:sz="4" w:space="0" w:color="auto"/>
              <w:right w:val="single" w:sz="4" w:space="0" w:color="auto"/>
            </w:tcBorders>
            <w:shd w:val="clear" w:color="auto" w:fill="auto"/>
            <w:vAlign w:val="center"/>
            <w:hideMark/>
          </w:tcPr>
          <w:p w14:paraId="133E12DF" w14:textId="77777777" w:rsidR="006409C6" w:rsidRPr="00C975AE" w:rsidRDefault="006409C6" w:rsidP="009A457B">
            <w:pPr>
              <w:spacing w:after="0" w:line="240" w:lineRule="auto"/>
              <w:jc w:val="right"/>
              <w:rPr>
                <w:rFonts w:ascii="Calibri" w:eastAsia="Times New Roman" w:hAnsi="Calibri" w:cs="Calibri"/>
                <w:i/>
                <w:iCs/>
                <w:color w:val="000000"/>
                <w:sz w:val="20"/>
                <w:szCs w:val="20"/>
              </w:rPr>
            </w:pPr>
            <w:r w:rsidRPr="00C975AE">
              <w:rPr>
                <w:rFonts w:ascii="Calibri" w:eastAsia="Times New Roman" w:hAnsi="Calibri" w:cs="Calibri"/>
                <w:i/>
                <w:iCs/>
                <w:color w:val="000000"/>
                <w:sz w:val="20"/>
                <w:szCs w:val="20"/>
              </w:rPr>
              <w:t>14 475,95</w:t>
            </w:r>
          </w:p>
        </w:tc>
      </w:tr>
      <w:tr w:rsidR="006409C6" w:rsidRPr="00C975AE" w14:paraId="271ABED6" w14:textId="77777777" w:rsidTr="009A457B">
        <w:trPr>
          <w:trHeight w:val="765"/>
        </w:trPr>
        <w:tc>
          <w:tcPr>
            <w:tcW w:w="4280" w:type="dxa"/>
            <w:tcBorders>
              <w:top w:val="nil"/>
              <w:left w:val="single" w:sz="4" w:space="0" w:color="auto"/>
              <w:bottom w:val="single" w:sz="4" w:space="0" w:color="auto"/>
              <w:right w:val="single" w:sz="4" w:space="0" w:color="auto"/>
            </w:tcBorders>
            <w:shd w:val="clear" w:color="auto" w:fill="auto"/>
            <w:vAlign w:val="center"/>
            <w:hideMark/>
          </w:tcPr>
          <w:p w14:paraId="3379B121" w14:textId="77777777" w:rsidR="006409C6" w:rsidRPr="00C975AE" w:rsidRDefault="006409C6" w:rsidP="009A457B">
            <w:pPr>
              <w:spacing w:after="0" w:line="240" w:lineRule="auto"/>
              <w:rPr>
                <w:rFonts w:ascii="Calibri" w:eastAsia="Times New Roman" w:hAnsi="Calibri" w:cs="Calibri"/>
                <w:color w:val="000000"/>
              </w:rPr>
            </w:pPr>
            <w:r w:rsidRPr="00C975AE">
              <w:rPr>
                <w:rFonts w:ascii="Calibri" w:eastAsia="Times New Roman" w:hAnsi="Calibri" w:cs="Calibri"/>
                <w:color w:val="000000"/>
              </w:rPr>
              <w:t>Communauté de communes de la Vanne et du Pays d'Othe</w:t>
            </w:r>
          </w:p>
        </w:tc>
        <w:tc>
          <w:tcPr>
            <w:tcW w:w="1660" w:type="dxa"/>
            <w:tcBorders>
              <w:top w:val="nil"/>
              <w:left w:val="nil"/>
              <w:bottom w:val="single" w:sz="4" w:space="0" w:color="auto"/>
              <w:right w:val="single" w:sz="4" w:space="0" w:color="auto"/>
            </w:tcBorders>
            <w:shd w:val="clear" w:color="000000" w:fill="FFFFFF"/>
            <w:vAlign w:val="center"/>
            <w:hideMark/>
          </w:tcPr>
          <w:p w14:paraId="5E8D1D9F" w14:textId="77777777" w:rsidR="006409C6" w:rsidRPr="00C975AE" w:rsidRDefault="006409C6" w:rsidP="009A457B">
            <w:pPr>
              <w:spacing w:after="0" w:line="240" w:lineRule="auto"/>
              <w:jc w:val="right"/>
              <w:rPr>
                <w:rFonts w:ascii="Calibri" w:eastAsia="Times New Roman" w:hAnsi="Calibri" w:cs="Calibri"/>
                <w:color w:val="000000"/>
              </w:rPr>
            </w:pPr>
            <w:r w:rsidRPr="00C975AE">
              <w:rPr>
                <w:rFonts w:ascii="Calibri" w:eastAsia="Times New Roman" w:hAnsi="Calibri" w:cs="Calibri"/>
                <w:color w:val="000000"/>
              </w:rPr>
              <w:t>1 225 656,00</w:t>
            </w:r>
          </w:p>
        </w:tc>
        <w:tc>
          <w:tcPr>
            <w:tcW w:w="1540" w:type="dxa"/>
            <w:tcBorders>
              <w:top w:val="nil"/>
              <w:left w:val="nil"/>
              <w:bottom w:val="single" w:sz="4" w:space="0" w:color="auto"/>
              <w:right w:val="single" w:sz="4" w:space="0" w:color="auto"/>
            </w:tcBorders>
            <w:shd w:val="clear" w:color="000000" w:fill="FFFFFF"/>
            <w:vAlign w:val="center"/>
            <w:hideMark/>
          </w:tcPr>
          <w:p w14:paraId="66B64669" w14:textId="77777777" w:rsidR="006409C6" w:rsidRPr="00C975AE" w:rsidRDefault="006409C6" w:rsidP="009A457B">
            <w:pPr>
              <w:spacing w:after="0" w:line="240" w:lineRule="auto"/>
              <w:jc w:val="right"/>
              <w:rPr>
                <w:rFonts w:ascii="Calibri" w:eastAsia="Times New Roman" w:hAnsi="Calibri" w:cs="Calibri"/>
                <w:color w:val="000000"/>
              </w:rPr>
            </w:pPr>
            <w:r w:rsidRPr="00C975AE">
              <w:rPr>
                <w:rFonts w:ascii="Calibri" w:eastAsia="Times New Roman" w:hAnsi="Calibri" w:cs="Calibri"/>
                <w:color w:val="000000"/>
              </w:rPr>
              <w:t>9 483</w:t>
            </w:r>
          </w:p>
        </w:tc>
        <w:tc>
          <w:tcPr>
            <w:tcW w:w="1500" w:type="dxa"/>
            <w:tcBorders>
              <w:top w:val="nil"/>
              <w:left w:val="nil"/>
              <w:bottom w:val="single" w:sz="4" w:space="0" w:color="auto"/>
              <w:right w:val="single" w:sz="4" w:space="0" w:color="auto"/>
            </w:tcBorders>
            <w:shd w:val="clear" w:color="auto" w:fill="auto"/>
            <w:vAlign w:val="center"/>
            <w:hideMark/>
          </w:tcPr>
          <w:p w14:paraId="79B80854" w14:textId="77777777" w:rsidR="006409C6" w:rsidRPr="00C975AE" w:rsidRDefault="006409C6" w:rsidP="009A457B">
            <w:pPr>
              <w:spacing w:after="0" w:line="240" w:lineRule="auto"/>
              <w:jc w:val="right"/>
              <w:rPr>
                <w:rFonts w:ascii="Calibri" w:eastAsia="Times New Roman" w:hAnsi="Calibri" w:cs="Calibri"/>
                <w:color w:val="000000"/>
              </w:rPr>
            </w:pPr>
            <w:r w:rsidRPr="00C975AE">
              <w:rPr>
                <w:rFonts w:ascii="Calibri" w:eastAsia="Times New Roman" w:hAnsi="Calibri" w:cs="Calibri"/>
                <w:color w:val="000000"/>
              </w:rPr>
              <w:t>4 600,76</w:t>
            </w:r>
          </w:p>
        </w:tc>
        <w:tc>
          <w:tcPr>
            <w:tcW w:w="1460" w:type="dxa"/>
            <w:tcBorders>
              <w:top w:val="nil"/>
              <w:left w:val="nil"/>
              <w:bottom w:val="single" w:sz="4" w:space="0" w:color="auto"/>
              <w:right w:val="single" w:sz="4" w:space="0" w:color="auto"/>
            </w:tcBorders>
            <w:shd w:val="clear" w:color="auto" w:fill="auto"/>
            <w:vAlign w:val="center"/>
            <w:hideMark/>
          </w:tcPr>
          <w:p w14:paraId="242464B8" w14:textId="77777777" w:rsidR="006409C6" w:rsidRPr="00C975AE" w:rsidRDefault="006409C6" w:rsidP="009A457B">
            <w:pPr>
              <w:spacing w:after="0" w:line="240" w:lineRule="auto"/>
              <w:jc w:val="right"/>
              <w:rPr>
                <w:rFonts w:ascii="Calibri" w:eastAsia="Times New Roman" w:hAnsi="Calibri" w:cs="Calibri"/>
                <w:color w:val="000000"/>
              </w:rPr>
            </w:pPr>
            <w:r w:rsidRPr="00C975AE">
              <w:rPr>
                <w:rFonts w:ascii="Calibri" w:eastAsia="Times New Roman" w:hAnsi="Calibri" w:cs="Calibri"/>
                <w:color w:val="000000"/>
              </w:rPr>
              <w:t>1 954,13</w:t>
            </w:r>
          </w:p>
        </w:tc>
        <w:tc>
          <w:tcPr>
            <w:tcW w:w="2680" w:type="dxa"/>
            <w:tcBorders>
              <w:top w:val="nil"/>
              <w:left w:val="nil"/>
              <w:bottom w:val="single" w:sz="4" w:space="0" w:color="auto"/>
              <w:right w:val="single" w:sz="4" w:space="0" w:color="auto"/>
            </w:tcBorders>
            <w:shd w:val="clear" w:color="000000" w:fill="FFFFFF"/>
            <w:vAlign w:val="center"/>
            <w:hideMark/>
          </w:tcPr>
          <w:p w14:paraId="2338B765" w14:textId="77777777" w:rsidR="006409C6" w:rsidRPr="00C975AE" w:rsidRDefault="006409C6" w:rsidP="009A457B">
            <w:pPr>
              <w:spacing w:after="0" w:line="240" w:lineRule="auto"/>
              <w:jc w:val="right"/>
              <w:rPr>
                <w:rFonts w:ascii="Calibri" w:eastAsia="Times New Roman" w:hAnsi="Calibri" w:cs="Calibri"/>
                <w:color w:val="000000"/>
              </w:rPr>
            </w:pPr>
            <w:r w:rsidRPr="00C975AE">
              <w:rPr>
                <w:rFonts w:ascii="Calibri" w:eastAsia="Times New Roman" w:hAnsi="Calibri" w:cs="Calibri"/>
                <w:color w:val="000000"/>
              </w:rPr>
              <w:t>6 554,89</w:t>
            </w:r>
          </w:p>
        </w:tc>
        <w:tc>
          <w:tcPr>
            <w:tcW w:w="1880" w:type="dxa"/>
            <w:tcBorders>
              <w:top w:val="nil"/>
              <w:left w:val="nil"/>
              <w:bottom w:val="single" w:sz="4" w:space="0" w:color="auto"/>
              <w:right w:val="single" w:sz="4" w:space="0" w:color="auto"/>
            </w:tcBorders>
            <w:shd w:val="clear" w:color="auto" w:fill="auto"/>
            <w:vAlign w:val="center"/>
            <w:hideMark/>
          </w:tcPr>
          <w:p w14:paraId="51E05B48" w14:textId="77777777" w:rsidR="006409C6" w:rsidRPr="00C975AE" w:rsidRDefault="006409C6" w:rsidP="009A457B">
            <w:pPr>
              <w:spacing w:after="0" w:line="240" w:lineRule="auto"/>
              <w:jc w:val="right"/>
              <w:rPr>
                <w:rFonts w:ascii="Calibri" w:eastAsia="Times New Roman" w:hAnsi="Calibri" w:cs="Calibri"/>
                <w:i/>
                <w:iCs/>
                <w:color w:val="000000"/>
                <w:sz w:val="20"/>
                <w:szCs w:val="20"/>
              </w:rPr>
            </w:pPr>
            <w:r w:rsidRPr="00C975AE">
              <w:rPr>
                <w:rFonts w:ascii="Calibri" w:eastAsia="Times New Roman" w:hAnsi="Calibri" w:cs="Calibri"/>
                <w:i/>
                <w:iCs/>
                <w:color w:val="000000"/>
                <w:sz w:val="20"/>
                <w:szCs w:val="20"/>
              </w:rPr>
              <w:t>5 617,77</w:t>
            </w:r>
          </w:p>
        </w:tc>
      </w:tr>
      <w:tr w:rsidR="006409C6" w:rsidRPr="00C975AE" w14:paraId="3525A30E" w14:textId="77777777" w:rsidTr="009A457B">
        <w:trPr>
          <w:trHeight w:val="765"/>
        </w:trPr>
        <w:tc>
          <w:tcPr>
            <w:tcW w:w="4280" w:type="dxa"/>
            <w:tcBorders>
              <w:top w:val="nil"/>
              <w:left w:val="single" w:sz="4" w:space="0" w:color="auto"/>
              <w:bottom w:val="single" w:sz="4" w:space="0" w:color="auto"/>
              <w:right w:val="single" w:sz="4" w:space="0" w:color="auto"/>
            </w:tcBorders>
            <w:shd w:val="clear" w:color="auto" w:fill="auto"/>
            <w:vAlign w:val="center"/>
            <w:hideMark/>
          </w:tcPr>
          <w:p w14:paraId="4817DDE0" w14:textId="77777777" w:rsidR="006409C6" w:rsidRPr="00C975AE" w:rsidRDefault="006409C6" w:rsidP="009A457B">
            <w:pPr>
              <w:spacing w:after="0" w:line="240" w:lineRule="auto"/>
              <w:rPr>
                <w:rFonts w:ascii="Calibri" w:eastAsia="Times New Roman" w:hAnsi="Calibri" w:cs="Calibri"/>
                <w:color w:val="000000"/>
              </w:rPr>
            </w:pPr>
            <w:r w:rsidRPr="00C975AE">
              <w:rPr>
                <w:rFonts w:ascii="Calibri" w:eastAsia="Times New Roman" w:hAnsi="Calibri" w:cs="Calibri"/>
                <w:color w:val="000000"/>
              </w:rPr>
              <w:t>Communauté de communes de Nord Yonne</w:t>
            </w:r>
          </w:p>
        </w:tc>
        <w:tc>
          <w:tcPr>
            <w:tcW w:w="1660" w:type="dxa"/>
            <w:tcBorders>
              <w:top w:val="nil"/>
              <w:left w:val="nil"/>
              <w:bottom w:val="single" w:sz="4" w:space="0" w:color="auto"/>
              <w:right w:val="single" w:sz="4" w:space="0" w:color="auto"/>
            </w:tcBorders>
            <w:shd w:val="clear" w:color="000000" w:fill="FFFFFF"/>
            <w:vAlign w:val="center"/>
            <w:hideMark/>
          </w:tcPr>
          <w:p w14:paraId="56A7B4D0" w14:textId="77777777" w:rsidR="006409C6" w:rsidRPr="00C975AE" w:rsidRDefault="006409C6" w:rsidP="009A457B">
            <w:pPr>
              <w:spacing w:after="0" w:line="240" w:lineRule="auto"/>
              <w:jc w:val="right"/>
              <w:rPr>
                <w:rFonts w:ascii="Calibri" w:eastAsia="Times New Roman" w:hAnsi="Calibri" w:cs="Calibri"/>
                <w:color w:val="000000"/>
              </w:rPr>
            </w:pPr>
            <w:r w:rsidRPr="00C975AE">
              <w:rPr>
                <w:rFonts w:ascii="Calibri" w:eastAsia="Times New Roman" w:hAnsi="Calibri" w:cs="Calibri"/>
                <w:color w:val="000000"/>
              </w:rPr>
              <w:t>3 692 590,00</w:t>
            </w:r>
          </w:p>
        </w:tc>
        <w:tc>
          <w:tcPr>
            <w:tcW w:w="1540" w:type="dxa"/>
            <w:tcBorders>
              <w:top w:val="nil"/>
              <w:left w:val="nil"/>
              <w:bottom w:val="single" w:sz="4" w:space="0" w:color="auto"/>
              <w:right w:val="single" w:sz="4" w:space="0" w:color="auto"/>
            </w:tcBorders>
            <w:shd w:val="clear" w:color="000000" w:fill="FFFFFF"/>
            <w:vAlign w:val="center"/>
            <w:hideMark/>
          </w:tcPr>
          <w:p w14:paraId="7AD0729D" w14:textId="77777777" w:rsidR="006409C6" w:rsidRPr="00C975AE" w:rsidRDefault="006409C6" w:rsidP="009A457B">
            <w:pPr>
              <w:spacing w:after="0" w:line="240" w:lineRule="auto"/>
              <w:jc w:val="right"/>
              <w:rPr>
                <w:rFonts w:ascii="Calibri" w:eastAsia="Times New Roman" w:hAnsi="Calibri" w:cs="Calibri"/>
                <w:color w:val="000000"/>
              </w:rPr>
            </w:pPr>
            <w:r w:rsidRPr="00C975AE">
              <w:rPr>
                <w:rFonts w:ascii="Calibri" w:eastAsia="Times New Roman" w:hAnsi="Calibri" w:cs="Calibri"/>
                <w:color w:val="000000"/>
              </w:rPr>
              <w:t>26 028</w:t>
            </w:r>
          </w:p>
        </w:tc>
        <w:tc>
          <w:tcPr>
            <w:tcW w:w="1500" w:type="dxa"/>
            <w:tcBorders>
              <w:top w:val="nil"/>
              <w:left w:val="nil"/>
              <w:bottom w:val="single" w:sz="4" w:space="0" w:color="auto"/>
              <w:right w:val="single" w:sz="4" w:space="0" w:color="auto"/>
            </w:tcBorders>
            <w:shd w:val="clear" w:color="auto" w:fill="auto"/>
            <w:vAlign w:val="center"/>
            <w:hideMark/>
          </w:tcPr>
          <w:p w14:paraId="29C9F62F" w14:textId="77777777" w:rsidR="006409C6" w:rsidRPr="00C975AE" w:rsidRDefault="006409C6" w:rsidP="009A457B">
            <w:pPr>
              <w:spacing w:after="0" w:line="240" w:lineRule="auto"/>
              <w:jc w:val="right"/>
              <w:rPr>
                <w:rFonts w:ascii="Calibri" w:eastAsia="Times New Roman" w:hAnsi="Calibri" w:cs="Calibri"/>
                <w:color w:val="000000"/>
              </w:rPr>
            </w:pPr>
            <w:r w:rsidRPr="00C975AE">
              <w:rPr>
                <w:rFonts w:ascii="Calibri" w:eastAsia="Times New Roman" w:hAnsi="Calibri" w:cs="Calibri"/>
                <w:color w:val="000000"/>
              </w:rPr>
              <w:t>12 627,72</w:t>
            </w:r>
          </w:p>
        </w:tc>
        <w:tc>
          <w:tcPr>
            <w:tcW w:w="1460" w:type="dxa"/>
            <w:tcBorders>
              <w:top w:val="nil"/>
              <w:left w:val="nil"/>
              <w:bottom w:val="single" w:sz="4" w:space="0" w:color="auto"/>
              <w:right w:val="single" w:sz="4" w:space="0" w:color="auto"/>
            </w:tcBorders>
            <w:shd w:val="clear" w:color="auto" w:fill="auto"/>
            <w:vAlign w:val="center"/>
            <w:hideMark/>
          </w:tcPr>
          <w:p w14:paraId="43F63A5F" w14:textId="77777777" w:rsidR="006409C6" w:rsidRPr="00C975AE" w:rsidRDefault="006409C6" w:rsidP="009A457B">
            <w:pPr>
              <w:spacing w:after="0" w:line="240" w:lineRule="auto"/>
              <w:jc w:val="right"/>
              <w:rPr>
                <w:rFonts w:ascii="Calibri" w:eastAsia="Times New Roman" w:hAnsi="Calibri" w:cs="Calibri"/>
                <w:color w:val="000000"/>
              </w:rPr>
            </w:pPr>
            <w:r w:rsidRPr="00C975AE">
              <w:rPr>
                <w:rFonts w:ascii="Calibri" w:eastAsia="Times New Roman" w:hAnsi="Calibri" w:cs="Calibri"/>
                <w:color w:val="000000"/>
              </w:rPr>
              <w:t>5 887,30</w:t>
            </w:r>
          </w:p>
        </w:tc>
        <w:tc>
          <w:tcPr>
            <w:tcW w:w="2680" w:type="dxa"/>
            <w:tcBorders>
              <w:top w:val="nil"/>
              <w:left w:val="nil"/>
              <w:bottom w:val="single" w:sz="4" w:space="0" w:color="auto"/>
              <w:right w:val="single" w:sz="4" w:space="0" w:color="auto"/>
            </w:tcBorders>
            <w:shd w:val="clear" w:color="000000" w:fill="FFFFFF"/>
            <w:vAlign w:val="center"/>
            <w:hideMark/>
          </w:tcPr>
          <w:p w14:paraId="582A2B6C" w14:textId="77777777" w:rsidR="006409C6" w:rsidRPr="00C975AE" w:rsidRDefault="006409C6" w:rsidP="009A457B">
            <w:pPr>
              <w:spacing w:after="0" w:line="240" w:lineRule="auto"/>
              <w:jc w:val="right"/>
              <w:rPr>
                <w:rFonts w:ascii="Calibri" w:eastAsia="Times New Roman" w:hAnsi="Calibri" w:cs="Calibri"/>
                <w:color w:val="000000"/>
              </w:rPr>
            </w:pPr>
            <w:r w:rsidRPr="00C975AE">
              <w:rPr>
                <w:rFonts w:ascii="Calibri" w:eastAsia="Times New Roman" w:hAnsi="Calibri" w:cs="Calibri"/>
                <w:color w:val="000000"/>
              </w:rPr>
              <w:t>18 515,02</w:t>
            </w:r>
          </w:p>
        </w:tc>
        <w:tc>
          <w:tcPr>
            <w:tcW w:w="1880" w:type="dxa"/>
            <w:tcBorders>
              <w:top w:val="nil"/>
              <w:left w:val="nil"/>
              <w:bottom w:val="single" w:sz="4" w:space="0" w:color="auto"/>
              <w:right w:val="single" w:sz="4" w:space="0" w:color="auto"/>
            </w:tcBorders>
            <w:shd w:val="clear" w:color="auto" w:fill="auto"/>
            <w:vAlign w:val="center"/>
            <w:hideMark/>
          </w:tcPr>
          <w:p w14:paraId="64D0B110" w14:textId="77777777" w:rsidR="006409C6" w:rsidRPr="00C975AE" w:rsidRDefault="006409C6" w:rsidP="009A457B">
            <w:pPr>
              <w:spacing w:after="0" w:line="240" w:lineRule="auto"/>
              <w:jc w:val="right"/>
              <w:rPr>
                <w:rFonts w:ascii="Calibri" w:eastAsia="Times New Roman" w:hAnsi="Calibri" w:cs="Calibri"/>
                <w:i/>
                <w:iCs/>
                <w:color w:val="000000"/>
                <w:sz w:val="20"/>
                <w:szCs w:val="20"/>
              </w:rPr>
            </w:pPr>
            <w:r w:rsidRPr="00C975AE">
              <w:rPr>
                <w:rFonts w:ascii="Calibri" w:eastAsia="Times New Roman" w:hAnsi="Calibri" w:cs="Calibri"/>
                <w:i/>
                <w:iCs/>
                <w:color w:val="000000"/>
                <w:sz w:val="20"/>
                <w:szCs w:val="20"/>
              </w:rPr>
              <w:t>15 856,30</w:t>
            </w:r>
          </w:p>
        </w:tc>
      </w:tr>
      <w:tr w:rsidR="006409C6" w:rsidRPr="00C975AE" w14:paraId="0B2AF0E6" w14:textId="77777777" w:rsidTr="009A457B">
        <w:trPr>
          <w:trHeight w:val="804"/>
        </w:trPr>
        <w:tc>
          <w:tcPr>
            <w:tcW w:w="4280" w:type="dxa"/>
            <w:tcBorders>
              <w:top w:val="nil"/>
              <w:left w:val="single" w:sz="4" w:space="0" w:color="auto"/>
              <w:bottom w:val="single" w:sz="4" w:space="0" w:color="auto"/>
              <w:right w:val="single" w:sz="4" w:space="0" w:color="auto"/>
            </w:tcBorders>
            <w:shd w:val="clear" w:color="auto" w:fill="auto"/>
            <w:vAlign w:val="center"/>
            <w:hideMark/>
          </w:tcPr>
          <w:p w14:paraId="7FED2DAB" w14:textId="77777777" w:rsidR="006409C6" w:rsidRPr="00C975AE" w:rsidRDefault="006409C6" w:rsidP="009A457B">
            <w:pPr>
              <w:spacing w:after="0" w:line="240" w:lineRule="auto"/>
              <w:jc w:val="center"/>
              <w:rPr>
                <w:rFonts w:ascii="Calibri" w:eastAsia="Times New Roman" w:hAnsi="Calibri" w:cs="Calibri"/>
                <w:color w:val="000000"/>
              </w:rPr>
            </w:pPr>
            <w:r w:rsidRPr="00C975AE">
              <w:rPr>
                <w:rFonts w:ascii="Calibri" w:eastAsia="Times New Roman" w:hAnsi="Calibri" w:cs="Calibri"/>
                <w:color w:val="000000"/>
              </w:rPr>
              <w:t>TOTAL</w:t>
            </w:r>
          </w:p>
        </w:tc>
        <w:tc>
          <w:tcPr>
            <w:tcW w:w="1660" w:type="dxa"/>
            <w:tcBorders>
              <w:top w:val="nil"/>
              <w:left w:val="nil"/>
              <w:bottom w:val="single" w:sz="4" w:space="0" w:color="auto"/>
              <w:right w:val="single" w:sz="4" w:space="0" w:color="auto"/>
            </w:tcBorders>
            <w:shd w:val="clear" w:color="auto" w:fill="auto"/>
            <w:vAlign w:val="center"/>
            <w:hideMark/>
          </w:tcPr>
          <w:p w14:paraId="48FDF44E" w14:textId="77777777" w:rsidR="006409C6" w:rsidRPr="00C975AE" w:rsidRDefault="006409C6" w:rsidP="009A457B">
            <w:pPr>
              <w:spacing w:after="0" w:line="240" w:lineRule="auto"/>
              <w:jc w:val="right"/>
              <w:rPr>
                <w:rFonts w:ascii="Calibri" w:eastAsia="Times New Roman" w:hAnsi="Calibri" w:cs="Calibri"/>
                <w:b/>
                <w:bCs/>
                <w:color w:val="000000"/>
              </w:rPr>
            </w:pPr>
            <w:r w:rsidRPr="00C975AE">
              <w:rPr>
                <w:rFonts w:ascii="Calibri" w:eastAsia="Times New Roman" w:hAnsi="Calibri" w:cs="Calibri"/>
                <w:b/>
                <w:bCs/>
                <w:color w:val="000000"/>
              </w:rPr>
              <w:t>42 519 539,00</w:t>
            </w:r>
          </w:p>
        </w:tc>
        <w:tc>
          <w:tcPr>
            <w:tcW w:w="1540" w:type="dxa"/>
            <w:tcBorders>
              <w:top w:val="nil"/>
              <w:left w:val="nil"/>
              <w:bottom w:val="single" w:sz="4" w:space="0" w:color="auto"/>
              <w:right w:val="single" w:sz="4" w:space="0" w:color="auto"/>
            </w:tcBorders>
            <w:shd w:val="clear" w:color="auto" w:fill="auto"/>
            <w:vAlign w:val="center"/>
            <w:hideMark/>
          </w:tcPr>
          <w:p w14:paraId="51921F7D" w14:textId="77777777" w:rsidR="006409C6" w:rsidRPr="00C975AE" w:rsidRDefault="006409C6" w:rsidP="009A457B">
            <w:pPr>
              <w:spacing w:after="0" w:line="240" w:lineRule="auto"/>
              <w:jc w:val="right"/>
              <w:rPr>
                <w:rFonts w:ascii="Calibri" w:eastAsia="Times New Roman" w:hAnsi="Calibri" w:cs="Calibri"/>
                <w:b/>
                <w:bCs/>
                <w:color w:val="000000"/>
              </w:rPr>
            </w:pPr>
            <w:r w:rsidRPr="00C975AE">
              <w:rPr>
                <w:rFonts w:ascii="Calibri" w:eastAsia="Times New Roman" w:hAnsi="Calibri" w:cs="Calibri"/>
                <w:b/>
                <w:bCs/>
                <w:color w:val="000000"/>
              </w:rPr>
              <w:t>139 730</w:t>
            </w:r>
          </w:p>
        </w:tc>
        <w:tc>
          <w:tcPr>
            <w:tcW w:w="1500" w:type="dxa"/>
            <w:tcBorders>
              <w:top w:val="nil"/>
              <w:left w:val="nil"/>
              <w:bottom w:val="single" w:sz="4" w:space="0" w:color="auto"/>
              <w:right w:val="single" w:sz="4" w:space="0" w:color="auto"/>
            </w:tcBorders>
            <w:shd w:val="clear" w:color="auto" w:fill="auto"/>
            <w:vAlign w:val="center"/>
            <w:hideMark/>
          </w:tcPr>
          <w:p w14:paraId="6DCEDF5D" w14:textId="77777777" w:rsidR="006409C6" w:rsidRPr="00C975AE" w:rsidRDefault="006409C6" w:rsidP="009A457B">
            <w:pPr>
              <w:spacing w:after="0" w:line="240" w:lineRule="auto"/>
              <w:jc w:val="right"/>
              <w:rPr>
                <w:rFonts w:ascii="Calibri" w:eastAsia="Times New Roman" w:hAnsi="Calibri" w:cs="Calibri"/>
                <w:b/>
                <w:bCs/>
                <w:color w:val="000000"/>
              </w:rPr>
            </w:pPr>
            <w:r w:rsidRPr="00C975AE">
              <w:rPr>
                <w:rFonts w:ascii="Calibri" w:eastAsia="Times New Roman" w:hAnsi="Calibri" w:cs="Calibri"/>
                <w:b/>
                <w:bCs/>
                <w:color w:val="000000"/>
              </w:rPr>
              <w:t>67 791,25</w:t>
            </w:r>
          </w:p>
        </w:tc>
        <w:tc>
          <w:tcPr>
            <w:tcW w:w="1460" w:type="dxa"/>
            <w:tcBorders>
              <w:top w:val="nil"/>
              <w:left w:val="nil"/>
              <w:bottom w:val="single" w:sz="4" w:space="0" w:color="auto"/>
              <w:right w:val="single" w:sz="4" w:space="0" w:color="auto"/>
            </w:tcBorders>
            <w:shd w:val="clear" w:color="auto" w:fill="auto"/>
            <w:vAlign w:val="center"/>
            <w:hideMark/>
          </w:tcPr>
          <w:p w14:paraId="345BF4A3" w14:textId="77777777" w:rsidR="006409C6" w:rsidRPr="00C975AE" w:rsidRDefault="006409C6" w:rsidP="009A457B">
            <w:pPr>
              <w:spacing w:after="0" w:line="240" w:lineRule="auto"/>
              <w:jc w:val="right"/>
              <w:rPr>
                <w:rFonts w:ascii="Calibri" w:eastAsia="Times New Roman" w:hAnsi="Calibri" w:cs="Calibri"/>
                <w:b/>
                <w:bCs/>
                <w:color w:val="000000"/>
              </w:rPr>
            </w:pPr>
            <w:r w:rsidRPr="00C975AE">
              <w:rPr>
                <w:rFonts w:ascii="Calibri" w:eastAsia="Times New Roman" w:hAnsi="Calibri" w:cs="Calibri"/>
                <w:b/>
                <w:bCs/>
                <w:color w:val="000000"/>
              </w:rPr>
              <w:t>67 791,25</w:t>
            </w:r>
          </w:p>
        </w:tc>
        <w:tc>
          <w:tcPr>
            <w:tcW w:w="2680" w:type="dxa"/>
            <w:tcBorders>
              <w:top w:val="nil"/>
              <w:left w:val="nil"/>
              <w:bottom w:val="single" w:sz="4" w:space="0" w:color="auto"/>
              <w:right w:val="single" w:sz="4" w:space="0" w:color="auto"/>
            </w:tcBorders>
            <w:shd w:val="clear" w:color="auto" w:fill="auto"/>
            <w:vAlign w:val="center"/>
            <w:hideMark/>
          </w:tcPr>
          <w:p w14:paraId="46C4E2D0" w14:textId="77777777" w:rsidR="006409C6" w:rsidRPr="00C975AE" w:rsidRDefault="006409C6" w:rsidP="009A457B">
            <w:pPr>
              <w:spacing w:after="0" w:line="240" w:lineRule="auto"/>
              <w:jc w:val="right"/>
              <w:rPr>
                <w:rFonts w:ascii="Calibri" w:eastAsia="Times New Roman" w:hAnsi="Calibri" w:cs="Calibri"/>
                <w:b/>
                <w:bCs/>
                <w:color w:val="000000"/>
              </w:rPr>
            </w:pPr>
            <w:r w:rsidRPr="00C975AE">
              <w:rPr>
                <w:rFonts w:ascii="Calibri" w:eastAsia="Times New Roman" w:hAnsi="Calibri" w:cs="Calibri"/>
                <w:b/>
                <w:bCs/>
                <w:color w:val="000000"/>
              </w:rPr>
              <w:t>135 582,50 €</w:t>
            </w:r>
          </w:p>
        </w:tc>
        <w:tc>
          <w:tcPr>
            <w:tcW w:w="1880" w:type="dxa"/>
            <w:tcBorders>
              <w:top w:val="nil"/>
              <w:left w:val="nil"/>
              <w:bottom w:val="single" w:sz="4" w:space="0" w:color="auto"/>
              <w:right w:val="single" w:sz="4" w:space="0" w:color="auto"/>
            </w:tcBorders>
            <w:shd w:val="clear" w:color="auto" w:fill="auto"/>
            <w:vAlign w:val="center"/>
            <w:hideMark/>
          </w:tcPr>
          <w:p w14:paraId="0A3E17FD" w14:textId="77777777" w:rsidR="006409C6" w:rsidRPr="008A5012" w:rsidRDefault="006409C6" w:rsidP="006409C6">
            <w:pPr>
              <w:pStyle w:val="Paragraphedeliste"/>
              <w:numPr>
                <w:ilvl w:val="0"/>
                <w:numId w:val="5"/>
              </w:numPr>
              <w:spacing w:after="0" w:line="240" w:lineRule="auto"/>
              <w:jc w:val="right"/>
              <w:rPr>
                <w:rFonts w:ascii="Calibri" w:eastAsia="Times New Roman" w:hAnsi="Calibri" w:cs="Calibri"/>
                <w:b/>
                <w:bCs/>
                <w:i/>
                <w:iCs/>
                <w:color w:val="000000"/>
                <w:sz w:val="20"/>
                <w:szCs w:val="20"/>
              </w:rPr>
            </w:pPr>
            <w:r w:rsidRPr="008A5012">
              <w:rPr>
                <w:rFonts w:ascii="Calibri" w:eastAsia="Times New Roman" w:hAnsi="Calibri" w:cs="Calibri"/>
                <w:b/>
                <w:bCs/>
                <w:i/>
                <w:iCs/>
                <w:color w:val="000000"/>
                <w:sz w:val="20"/>
                <w:szCs w:val="20"/>
              </w:rPr>
              <w:t>883</w:t>
            </w:r>
          </w:p>
        </w:tc>
      </w:tr>
    </w:tbl>
    <w:p w14:paraId="09684C93" w14:textId="77777777" w:rsidR="006409C6" w:rsidRDefault="006409C6" w:rsidP="006409C6">
      <w:pPr>
        <w:sectPr w:rsidR="006409C6" w:rsidSect="006409C6">
          <w:headerReference w:type="default" r:id="rId7"/>
          <w:footerReference w:type="default" r:id="rId8"/>
          <w:pgSz w:w="16838" w:h="11906" w:orient="landscape"/>
          <w:pgMar w:top="1276" w:right="1417" w:bottom="1417" w:left="1417" w:header="708" w:footer="708" w:gutter="0"/>
          <w:cols w:space="708"/>
          <w:docGrid w:linePitch="360"/>
        </w:sectPr>
      </w:pPr>
    </w:p>
    <w:p w14:paraId="6FA5617B" w14:textId="77777777" w:rsidR="007454DA" w:rsidRDefault="007454DA"/>
    <w:sectPr w:rsidR="007454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8618"/>
      <w:gridCol w:w="454"/>
    </w:tblGrid>
    <w:tr w:rsidR="006A1FA6" w14:paraId="75AB2F55" w14:textId="77777777" w:rsidTr="00092170">
      <w:trPr>
        <w:trHeight w:val="311"/>
        <w:jc w:val="right"/>
      </w:trPr>
      <w:tc>
        <w:tcPr>
          <w:tcW w:w="4795" w:type="dxa"/>
          <w:vAlign w:val="center"/>
        </w:tcPr>
        <w:sdt>
          <w:sdtPr>
            <w:alias w:val="Auteur"/>
            <w:tag w:val=""/>
            <w:id w:val="1534539408"/>
            <w:dataBinding w:prefixMappings="xmlns:ns0='http://purl.org/dc/elements/1.1/' xmlns:ns1='http://schemas.openxmlformats.org/package/2006/metadata/core-properties' " w:xpath="/ns1:coreProperties[1]/ns0:creator[1]" w:storeItemID="{6C3C8BC8-F283-45AE-878A-BAB7291924A1}"/>
            <w:text/>
          </w:sdtPr>
          <w:sdtEndPr/>
          <w:sdtContent>
            <w:p w14:paraId="4E973A9B" w14:textId="3A74C8E1" w:rsidR="006409C6" w:rsidRPr="008D0716" w:rsidRDefault="006409C6">
              <w:pPr>
                <w:pStyle w:val="En-tte"/>
                <w:jc w:val="right"/>
                <w:rPr>
                  <w:caps/>
                  <w:color w:val="000000"/>
                </w:rPr>
              </w:pPr>
              <w:r>
                <w:t>Mickaël PAGNOUX</w:t>
              </w:r>
            </w:p>
          </w:sdtContent>
        </w:sdt>
      </w:tc>
      <w:tc>
        <w:tcPr>
          <w:tcW w:w="250" w:type="pct"/>
          <w:shd w:val="clear" w:color="auto" w:fill="0070C0"/>
          <w:vAlign w:val="center"/>
        </w:tcPr>
        <w:p w14:paraId="1AB039EE" w14:textId="77777777" w:rsidR="006409C6" w:rsidRPr="008D0716" w:rsidRDefault="006409C6">
          <w:pPr>
            <w:pStyle w:val="Pieddepage"/>
            <w:jc w:val="center"/>
            <w:rPr>
              <w:color w:val="FFFFFF"/>
            </w:rPr>
          </w:pPr>
          <w:r w:rsidRPr="008D0716">
            <w:rPr>
              <w:color w:val="FFFFFF"/>
            </w:rPr>
            <w:fldChar w:fldCharType="begin"/>
          </w:r>
          <w:r w:rsidRPr="008D0716">
            <w:rPr>
              <w:color w:val="FFFFFF"/>
            </w:rPr>
            <w:instrText>PAGE   \* MERGEFORMAT</w:instrText>
          </w:r>
          <w:r w:rsidRPr="008D0716">
            <w:rPr>
              <w:color w:val="FFFFFF"/>
            </w:rPr>
            <w:fldChar w:fldCharType="separate"/>
          </w:r>
          <w:r w:rsidRPr="008D0716">
            <w:rPr>
              <w:color w:val="FFFFFF"/>
            </w:rPr>
            <w:t>2</w:t>
          </w:r>
          <w:r w:rsidRPr="008D0716">
            <w:rPr>
              <w:color w:val="FFFFFF"/>
            </w:rPr>
            <w:fldChar w:fldCharType="end"/>
          </w:r>
        </w:p>
      </w:tc>
    </w:tr>
  </w:tbl>
  <w:p w14:paraId="4343C1D8" w14:textId="77777777" w:rsidR="006409C6" w:rsidRDefault="006409C6">
    <w:pPr>
      <w:pStyle w:val="Pieddepage"/>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4CB9F" w14:textId="77777777" w:rsidR="006409C6" w:rsidRDefault="006409C6">
    <w:pPr>
      <w:pStyle w:val="En-tte"/>
    </w:pPr>
    <w:r w:rsidRPr="00962CD3">
      <w:rPr>
        <w:rFonts w:ascii="Calibri" w:eastAsia="Calibri" w:hAnsi="Calibri" w:cs="Times New Roman"/>
        <w:noProof/>
      </w:rPr>
      <w:drawing>
        <wp:inline distT="0" distB="0" distL="0" distR="0" wp14:anchorId="071DB703" wp14:editId="1A029761">
          <wp:extent cx="561772" cy="942975"/>
          <wp:effectExtent l="0" t="0" r="0" b="0"/>
          <wp:docPr id="251183249" name="Image 251183249"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354621" name="Image 1323354621" descr="Une image contenant texte, Police, logo, Graph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767" cy="949681"/>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2E6A8" w14:textId="77777777" w:rsidR="006409C6" w:rsidRDefault="006409C6" w:rsidP="0085709A">
    <w:pPr>
      <w:pStyle w:val="En-tte"/>
      <w:tabs>
        <w:tab w:val="clear" w:pos="4536"/>
        <w:tab w:val="clear" w:pos="9072"/>
        <w:tab w:val="left" w:pos="3326"/>
      </w:tabs>
    </w:pPr>
    <w:r w:rsidRPr="00962CD3">
      <w:rPr>
        <w:rFonts w:ascii="Calibri" w:eastAsia="Calibri" w:hAnsi="Calibri" w:cs="Times New Roman"/>
        <w:noProof/>
      </w:rPr>
      <w:drawing>
        <wp:inline distT="0" distB="0" distL="0" distR="0" wp14:anchorId="70761AEF" wp14:editId="7DF43396">
          <wp:extent cx="561772" cy="942975"/>
          <wp:effectExtent l="0" t="0" r="0" b="0"/>
          <wp:docPr id="486580966" name="Image 486580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767" cy="949681"/>
                  </a:xfrm>
                  <a:prstGeom prst="rect">
                    <a:avLst/>
                  </a:prstGeom>
                  <a:noFill/>
                </pic:spPr>
              </pic:pic>
            </a:graphicData>
          </a:graphic>
        </wp:inline>
      </w:drawing>
    </w:r>
    <w:r>
      <w:tab/>
    </w:r>
  </w:p>
  <w:p w14:paraId="60B77C71" w14:textId="77777777" w:rsidR="006409C6" w:rsidRDefault="006409C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0EBC"/>
    <w:multiLevelType w:val="hybridMultilevel"/>
    <w:tmpl w:val="2636501A"/>
    <w:lvl w:ilvl="0" w:tplc="8A460D5E">
      <w:start w:val="11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B3A0D6B"/>
    <w:multiLevelType w:val="hybridMultilevel"/>
    <w:tmpl w:val="E4BED2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02B68BC"/>
    <w:multiLevelType w:val="hybridMultilevel"/>
    <w:tmpl w:val="B9C8B6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64C114D"/>
    <w:multiLevelType w:val="hybridMultilevel"/>
    <w:tmpl w:val="E00CC596"/>
    <w:lvl w:ilvl="0" w:tplc="D1565830">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5D6C318D"/>
    <w:multiLevelType w:val="hybridMultilevel"/>
    <w:tmpl w:val="9886EA82"/>
    <w:lvl w:ilvl="0" w:tplc="3BAC8714">
      <w:start w:val="1"/>
      <w:numFmt w:val="upperRoman"/>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97034282">
    <w:abstractNumId w:val="1"/>
  </w:num>
  <w:num w:numId="2" w16cid:durableId="933788102">
    <w:abstractNumId w:val="3"/>
  </w:num>
  <w:num w:numId="3" w16cid:durableId="658311966">
    <w:abstractNumId w:val="4"/>
  </w:num>
  <w:num w:numId="4" w16cid:durableId="143083699">
    <w:abstractNumId w:val="2"/>
  </w:num>
  <w:num w:numId="5" w16cid:durableId="107437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F6F"/>
    <w:rsid w:val="002D4D98"/>
    <w:rsid w:val="0038480C"/>
    <w:rsid w:val="004F5248"/>
    <w:rsid w:val="00520C58"/>
    <w:rsid w:val="006409C6"/>
    <w:rsid w:val="007454DA"/>
    <w:rsid w:val="008B2D84"/>
    <w:rsid w:val="00956864"/>
    <w:rsid w:val="00993F6F"/>
    <w:rsid w:val="00AB32F2"/>
    <w:rsid w:val="00C34E5B"/>
    <w:rsid w:val="00CE49FE"/>
    <w:rsid w:val="00D20E67"/>
    <w:rsid w:val="00DB47D4"/>
    <w:rsid w:val="00DC2E3D"/>
    <w:rsid w:val="00DC5A67"/>
    <w:rsid w:val="00E50F67"/>
    <w:rsid w:val="00E57DCF"/>
    <w:rsid w:val="00E920C9"/>
    <w:rsid w:val="00F658D7"/>
    <w:rsid w:val="00F72AAB"/>
    <w:rsid w:val="00FD5D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31611"/>
  <w15:chartTrackingRefBased/>
  <w15:docId w15:val="{B42D6E30-2BD7-491D-A60B-3FB7B4B11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9C6"/>
    <w:pPr>
      <w:spacing w:after="200" w:line="276" w:lineRule="auto"/>
    </w:pPr>
    <w:rPr>
      <w:kern w:val="0"/>
      <w14:ligatures w14:val="none"/>
    </w:rPr>
  </w:style>
  <w:style w:type="paragraph" w:styleId="Titre1">
    <w:name w:val="heading 1"/>
    <w:basedOn w:val="Normal"/>
    <w:next w:val="Normal"/>
    <w:link w:val="Titre1Car"/>
    <w:uiPriority w:val="9"/>
    <w:qFormat/>
    <w:rsid w:val="00993F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993F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93F6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93F6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93F6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93F6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93F6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93F6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93F6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93F6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993F6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93F6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93F6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93F6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93F6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93F6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93F6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93F6F"/>
    <w:rPr>
      <w:rFonts w:eastAsiaTheme="majorEastAsia" w:cstheme="majorBidi"/>
      <w:color w:val="272727" w:themeColor="text1" w:themeTint="D8"/>
    </w:rPr>
  </w:style>
  <w:style w:type="paragraph" w:styleId="Titre">
    <w:name w:val="Title"/>
    <w:basedOn w:val="Normal"/>
    <w:next w:val="Normal"/>
    <w:link w:val="TitreCar"/>
    <w:uiPriority w:val="10"/>
    <w:qFormat/>
    <w:rsid w:val="00993F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93F6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93F6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93F6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93F6F"/>
    <w:pPr>
      <w:spacing w:before="160"/>
      <w:jc w:val="center"/>
    </w:pPr>
    <w:rPr>
      <w:i/>
      <w:iCs/>
      <w:color w:val="404040" w:themeColor="text1" w:themeTint="BF"/>
    </w:rPr>
  </w:style>
  <w:style w:type="character" w:customStyle="1" w:styleId="CitationCar">
    <w:name w:val="Citation Car"/>
    <w:basedOn w:val="Policepardfaut"/>
    <w:link w:val="Citation"/>
    <w:uiPriority w:val="29"/>
    <w:rsid w:val="00993F6F"/>
    <w:rPr>
      <w:i/>
      <w:iCs/>
      <w:color w:val="404040" w:themeColor="text1" w:themeTint="BF"/>
    </w:rPr>
  </w:style>
  <w:style w:type="paragraph" w:styleId="Paragraphedeliste">
    <w:name w:val="List Paragraph"/>
    <w:basedOn w:val="Normal"/>
    <w:link w:val="ParagraphedelisteCar"/>
    <w:uiPriority w:val="34"/>
    <w:qFormat/>
    <w:rsid w:val="00993F6F"/>
    <w:pPr>
      <w:ind w:left="720"/>
      <w:contextualSpacing/>
    </w:pPr>
  </w:style>
  <w:style w:type="character" w:styleId="Accentuationintense">
    <w:name w:val="Intense Emphasis"/>
    <w:basedOn w:val="Policepardfaut"/>
    <w:uiPriority w:val="21"/>
    <w:qFormat/>
    <w:rsid w:val="00993F6F"/>
    <w:rPr>
      <w:i/>
      <w:iCs/>
      <w:color w:val="0F4761" w:themeColor="accent1" w:themeShade="BF"/>
    </w:rPr>
  </w:style>
  <w:style w:type="paragraph" w:styleId="Citationintense">
    <w:name w:val="Intense Quote"/>
    <w:basedOn w:val="Normal"/>
    <w:next w:val="Normal"/>
    <w:link w:val="CitationintenseCar"/>
    <w:uiPriority w:val="30"/>
    <w:qFormat/>
    <w:rsid w:val="00993F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93F6F"/>
    <w:rPr>
      <w:i/>
      <w:iCs/>
      <w:color w:val="0F4761" w:themeColor="accent1" w:themeShade="BF"/>
    </w:rPr>
  </w:style>
  <w:style w:type="character" w:styleId="Rfrenceintense">
    <w:name w:val="Intense Reference"/>
    <w:basedOn w:val="Policepardfaut"/>
    <w:uiPriority w:val="32"/>
    <w:qFormat/>
    <w:rsid w:val="00993F6F"/>
    <w:rPr>
      <w:b/>
      <w:bCs/>
      <w:smallCaps/>
      <w:color w:val="0F4761" w:themeColor="accent1" w:themeShade="BF"/>
      <w:spacing w:val="5"/>
    </w:rPr>
  </w:style>
  <w:style w:type="paragraph" w:styleId="En-tte">
    <w:name w:val="header"/>
    <w:basedOn w:val="Normal"/>
    <w:link w:val="En-tteCar"/>
    <w:uiPriority w:val="99"/>
    <w:unhideWhenUsed/>
    <w:rsid w:val="006409C6"/>
    <w:pPr>
      <w:tabs>
        <w:tab w:val="center" w:pos="4536"/>
        <w:tab w:val="right" w:pos="9072"/>
      </w:tabs>
      <w:spacing w:after="0" w:line="240" w:lineRule="auto"/>
    </w:pPr>
  </w:style>
  <w:style w:type="character" w:customStyle="1" w:styleId="En-tteCar">
    <w:name w:val="En-tête Car"/>
    <w:basedOn w:val="Policepardfaut"/>
    <w:link w:val="En-tte"/>
    <w:uiPriority w:val="99"/>
    <w:rsid w:val="006409C6"/>
    <w:rPr>
      <w:kern w:val="0"/>
      <w14:ligatures w14:val="none"/>
    </w:rPr>
  </w:style>
  <w:style w:type="paragraph" w:styleId="Pieddepage">
    <w:name w:val="footer"/>
    <w:basedOn w:val="Normal"/>
    <w:link w:val="PieddepageCar"/>
    <w:uiPriority w:val="99"/>
    <w:unhideWhenUsed/>
    <w:rsid w:val="006409C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409C6"/>
    <w:rPr>
      <w:kern w:val="0"/>
      <w14:ligatures w14:val="none"/>
    </w:rPr>
  </w:style>
  <w:style w:type="character" w:customStyle="1" w:styleId="ParagraphedelisteCar">
    <w:name w:val="Paragraphe de liste Car"/>
    <w:basedOn w:val="Policepardfaut"/>
    <w:link w:val="Paragraphedeliste"/>
    <w:uiPriority w:val="34"/>
    <w:rsid w:val="006409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2181</Words>
  <Characters>12001</Characters>
  <Application>Microsoft Office Word</Application>
  <DocSecurity>0</DocSecurity>
  <Lines>100</Lines>
  <Paragraphs>28</Paragraphs>
  <ScaleCrop>false</ScaleCrop>
  <Company/>
  <LinksUpToDate>false</LinksUpToDate>
  <CharactersWithSpaces>14154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Mickaël PAGNOUX</dc:creator>
  <cp:keywords/>
  <dc:description/>
  <cp:lastModifiedBy>Mickaël PAGNOUX</cp:lastModifiedBy>
  <cp:revision>2</cp:revision>
  <dcterms:created xsi:type="dcterms:W3CDTF">2025-04-17T13:06:00Z</dcterms:created>
  <dcterms:modified xsi:type="dcterms:W3CDTF">2025-04-17T13:06:00Z</dcterms:modified>
</cp:coreProperties>
</file>